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t>版本号：240705001</w:t>
      </w:r>
    </w:p>
    <w:p>
      <w:pPr>
        <w:pStyle w:val="null3"/>
        <w:jc w:val="left"/>
        <w:outlineLvl w:val="0"/>
      </w:pPr>
      <w:r>
        <w:rPr>
          <w:b/>
          <w:sz w:val="48"/>
        </w:rPr>
        <w:t>招 标 文 件</w:t>
      </w:r>
    </w:p>
    <w:p>
      <w:pPr>
        <w:pStyle w:val="null3"/>
        <w:jc w:val="center"/>
        <w:outlineLvl w:val="0"/>
      </w:pPr>
      <w:r>
        <w:rPr>
          <w:b/>
          <w:sz w:val="48"/>
        </w:rPr>
        <w:t>（货物类）</w:t>
      </w:r>
    </w:p>
    <w:p>
      <w:pPr>
        <w:pStyle w:val="null3"/>
        <w:jc w:val="left"/>
        <w:outlineLvl w:val="2"/>
      </w:pPr>
      <w:r>
        <w:rPr>
          <w:b/>
          <w:sz w:val="28"/>
        </w:rPr>
        <w:t>采购项目名称：</w:t>
      </w:r>
      <w:r>
        <w:rPr>
          <w:b/>
          <w:sz w:val="28"/>
        </w:rPr>
        <w:t>无人机侦测、反制设备和角反射器(二次)</w:t>
      </w:r>
    </w:p>
    <w:p>
      <w:pPr>
        <w:pStyle w:val="null3"/>
        <w:jc w:val="center"/>
        <w:outlineLvl w:val="2"/>
      </w:pPr>
      <w:r>
        <w:rPr>
          <w:b/>
          <w:sz w:val="28"/>
        </w:rPr>
        <w:t>采购项目编号：</w:t>
      </w:r>
      <w:r>
        <w:rPr>
          <w:b/>
          <w:sz w:val="28"/>
        </w:rPr>
        <w:t>N5101012024000874</w:t>
      </w:r>
    </w:p>
    <w:p>
      <w:pPr>
        <w:pStyle w:val="null3"/>
        <w:jc w:val="left"/>
        <w:outlineLvl w:val="2"/>
      </w:pPr>
      <w:r>
        <w:rPr>
          <w:b/>
          <w:sz w:val="28"/>
        </w:rPr>
        <w:t>成都市人民政府国防动员办公室</w:t>
      </w:r>
    </w:p>
    <w:p>
      <w:pPr>
        <w:pStyle w:val="null3"/>
        <w:jc w:val="center"/>
        <w:outlineLvl w:val="2"/>
      </w:pPr>
      <w:r>
        <w:rPr>
          <w:b/>
          <w:sz w:val="28"/>
        </w:rPr>
        <w:t>四川蜀理项目管理咨询有限公司</w:t>
      </w:r>
      <w:r>
        <w:rPr>
          <w:b/>
          <w:sz w:val="28"/>
        </w:rPr>
        <w:t>共同编制</w:t>
      </w:r>
    </w:p>
    <w:p>
      <w:pPr>
        <w:pStyle w:val="null3"/>
        <w:jc w:val="center"/>
      </w:pPr>
      <w:r>
        <w:rPr/>
        <w:t>2024年07月05日</w:t>
      </w:r>
    </w:p>
    <w:p>
      <w:pPr>
        <w:pStyle w:val="null3"/>
      </w:pPr>
      <w:r>
        <w:rPr/>
        <w:t xml:space="preserve"> </w:t>
        <w:br/>
        <w:br w:type="page"/>
      </w:r>
    </w:p>
    <w:p>
      <w:pPr>
        <w:pStyle w:val="null3"/>
        <w:jc w:val="center"/>
        <w:outlineLvl w:val="1"/>
      </w:pPr>
      <w:r>
        <w:rPr>
          <w:b/>
          <w:sz w:val="36"/>
        </w:rPr>
        <w:t>第一章 投标邀请</w:t>
      </w:r>
    </w:p>
    <w:p>
      <w:pPr>
        <w:pStyle w:val="null3"/>
        <w:ind w:firstLine="480"/>
        <w:jc w:val="left"/>
      </w:pPr>
      <w:r>
        <w:rPr/>
        <w:t>四川蜀理项目管理咨询有限公司</w:t>
      </w:r>
      <w:r>
        <w:rPr/>
        <w:t xml:space="preserve"> （以下简称“代理机构”）受 </w:t>
      </w:r>
      <w:r>
        <w:rPr/>
        <w:t>成都市人民政府国防动员办公室</w:t>
      </w:r>
      <w:r>
        <w:rPr/>
        <w:t xml:space="preserve"> 委托，拟对 </w:t>
      </w:r>
      <w:r>
        <w:rPr/>
        <w:t>无人机侦测、反制设备和角反射器(二次)</w:t>
      </w:r>
      <w:r>
        <w:rPr/>
        <w:t xml:space="preserve"> 采用公开招标方式进行采购，兹邀请符合本次招标要求的供应商参加投标。本项目为四川省</w:t>
      </w:r>
      <w:r>
        <w:rPr/>
        <w:t>成都市市本级</w:t>
      </w:r>
      <w:r>
        <w:rPr/>
        <w:t>政府采购项目，适用《中华人民共和国政府采购法》等法律制度规定。</w:t>
      </w:r>
    </w:p>
    <w:p>
      <w:pPr>
        <w:pStyle w:val="null3"/>
        <w:jc w:val="left"/>
        <w:outlineLvl w:val="2"/>
      </w:pPr>
      <w:r>
        <w:rPr>
          <w:b/>
          <w:sz w:val="28"/>
        </w:rPr>
        <w:t>1.1.采购项目编号</w:t>
      </w:r>
      <w:r>
        <w:rPr>
          <w:b/>
          <w:sz w:val="28"/>
        </w:rPr>
        <w:t xml:space="preserve">： </w:t>
      </w:r>
      <w:r>
        <w:rPr>
          <w:b/>
          <w:sz w:val="28"/>
        </w:rPr>
        <w:t>N5101012024000874</w:t>
      </w:r>
    </w:p>
    <w:p>
      <w:pPr>
        <w:pStyle w:val="null3"/>
        <w:jc w:val="left"/>
        <w:outlineLvl w:val="2"/>
      </w:pPr>
      <w:r>
        <w:rPr>
          <w:b/>
          <w:sz w:val="28"/>
        </w:rPr>
        <w:t>1.2.采购项目名称</w:t>
      </w:r>
      <w:r>
        <w:rPr>
          <w:b/>
          <w:sz w:val="28"/>
        </w:rPr>
        <w:t xml:space="preserve">： </w:t>
      </w:r>
      <w:r>
        <w:rPr>
          <w:b/>
          <w:sz w:val="28"/>
        </w:rPr>
        <w:t>无人机侦测、反制设备和角反射器(二次)</w:t>
      </w:r>
    </w:p>
    <w:p>
      <w:pPr>
        <w:pStyle w:val="null3"/>
        <w:jc w:val="left"/>
        <w:outlineLvl w:val="2"/>
      </w:pPr>
      <w:r>
        <w:rPr>
          <w:b/>
          <w:sz w:val="28"/>
        </w:rPr>
        <w:t>1.3.招标项目简介</w:t>
      </w:r>
    </w:p>
    <w:p>
      <w:pPr>
        <w:pStyle w:val="null3"/>
        <w:ind w:firstLine="480"/>
        <w:jc w:val="left"/>
      </w:pPr>
      <w:r>
        <w:rPr/>
        <w:t>本项目为无人机侦测、反制设备和角反射器采购。</w:t>
      </w:r>
    </w:p>
    <w:p>
      <w:pPr>
        <w:pStyle w:val="null3"/>
        <w:jc w:val="left"/>
        <w:outlineLvl w:val="2"/>
      </w:pPr>
      <w:r>
        <w:rPr>
          <w:b/>
          <w:sz w:val="28"/>
        </w:rPr>
        <w:t>1.4.邀请供应商方式</w:t>
      </w:r>
    </w:p>
    <w:p>
      <w:pPr>
        <w:pStyle w:val="null3"/>
        <w:ind w:firstLine="480"/>
        <w:jc w:val="left"/>
      </w:pPr>
      <w:r>
        <w:rPr/>
        <w:t>本项目以招标公告的方式邀请供应商参加投标，招标公告在四川政府采购网（www.ccgp-sichuan.gov.cn）发布。</w:t>
      </w:r>
    </w:p>
    <w:p>
      <w:pPr>
        <w:pStyle w:val="null3"/>
        <w:jc w:val="left"/>
        <w:outlineLvl w:val="2"/>
      </w:pPr>
      <w:r>
        <w:rPr>
          <w:b/>
          <w:sz w:val="28"/>
        </w:rPr>
        <w:t>1.5.供应商参加本次政府采购活动应具备的条件</w:t>
      </w:r>
    </w:p>
    <w:p>
      <w:pPr>
        <w:pStyle w:val="null3"/>
        <w:ind w:firstLine="480"/>
        <w:jc w:val="left"/>
      </w:pPr>
      <w:r>
        <w:rPr/>
        <w:t>根据《中华人民共和国政府采购法》第二十二条规定，供应商应当具备下列条件：</w:t>
      </w:r>
    </w:p>
    <w:p>
      <w:pPr>
        <w:pStyle w:val="null3"/>
        <w:ind w:firstLine="480"/>
        <w:jc w:val="left"/>
      </w:pPr>
      <w:r>
        <w:rPr/>
        <w:t>一、需要满足的一般资格要求：</w:t>
      </w:r>
    </w:p>
    <w:p>
      <w:pPr>
        <w:pStyle w:val="null3"/>
        <w:ind w:firstLine="480"/>
        <w:jc w:val="left"/>
      </w:pPr>
      <w:r>
        <w:rPr/>
        <w:t>（一）具有独立承担民事责任的能力；</w:t>
      </w:r>
    </w:p>
    <w:p>
      <w:pPr>
        <w:pStyle w:val="null3"/>
        <w:ind w:firstLine="480"/>
        <w:jc w:val="left"/>
      </w:pPr>
      <w:r>
        <w:rPr/>
        <w:t>（二）具有良好的商业信誉和健全的财务会计制度；</w:t>
      </w:r>
    </w:p>
    <w:p>
      <w:pPr>
        <w:pStyle w:val="null3"/>
        <w:ind w:firstLine="480"/>
        <w:jc w:val="left"/>
      </w:pPr>
      <w:r>
        <w:rPr/>
        <w:t>（三）具有履行合同所必需的设备和专业技术能力；</w:t>
      </w:r>
    </w:p>
    <w:p>
      <w:pPr>
        <w:pStyle w:val="null3"/>
        <w:ind w:firstLine="480"/>
        <w:jc w:val="left"/>
      </w:pPr>
      <w:r>
        <w:rPr/>
        <w:t>（四）有依法缴纳税收和社会保障资金的良好记录；</w:t>
      </w:r>
    </w:p>
    <w:p>
      <w:pPr>
        <w:pStyle w:val="null3"/>
        <w:ind w:firstLine="480"/>
        <w:jc w:val="left"/>
      </w:pPr>
      <w:r>
        <w:rPr/>
        <w:t>（五）参加政府采购活动前三年内，在经营活动中没有重大违法记录。</w:t>
      </w:r>
    </w:p>
    <w:p>
      <w:pPr>
        <w:pStyle w:val="null3"/>
        <w:ind w:firstLine="480"/>
        <w:jc w:val="left"/>
      </w:pPr>
      <w:r>
        <w:rPr/>
        <w:t>二、落实政府采购政策需满足的资格要求：</w:t>
      </w:r>
    </w:p>
    <w:p>
      <w:pPr>
        <w:pStyle w:val="null3"/>
        <w:ind w:firstLine="480"/>
        <w:jc w:val="left"/>
      </w:pPr>
      <w:r>
        <w:rPr/>
        <w:t>采购包1：无。</w:t>
      </w:r>
    </w:p>
    <w:p>
      <w:pPr>
        <w:pStyle w:val="null3"/>
        <w:ind w:firstLine="480"/>
        <w:jc w:val="left"/>
      </w:pPr>
      <w:r>
        <w:rPr/>
        <w:t>三、本项目的特定资格要求：</w:t>
      </w:r>
    </w:p>
    <w:p>
      <w:pPr>
        <w:pStyle w:val="null3"/>
        <w:ind w:firstLine="480"/>
        <w:jc w:val="left"/>
      </w:pPr>
      <w:r>
        <w:rPr/>
        <w:t>无</w:t>
      </w:r>
    </w:p>
    <w:p>
      <w:pPr>
        <w:pStyle w:val="null3"/>
        <w:jc w:val="left"/>
        <w:outlineLvl w:val="2"/>
      </w:pPr>
      <w:r>
        <w:rPr>
          <w:b/>
          <w:sz w:val="28"/>
        </w:rPr>
        <w:t>1.6.电子化采购相关事项</w:t>
      </w:r>
    </w:p>
    <w:p>
      <w:pPr>
        <w:pStyle w:val="null3"/>
        <w:ind w:firstLine="480"/>
        <w:jc w:val="left"/>
      </w:pPr>
      <w:r>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t>供应商应当加强数字证书和电子印章的日常校验和保管，确保在参加采购活动期间能够正常使用，严格授权管理，防止非授权操作。</w:t>
      </w:r>
    </w:p>
    <w:p>
      <w:pPr>
        <w:pStyle w:val="null3"/>
        <w:ind w:firstLine="480"/>
        <w:jc w:val="left"/>
      </w:pPr>
      <w:r>
        <w:rPr/>
        <w:t>三、供应商应当自行准备电子化采购所需的计算机终端、软硬件及网络环境，承担因准备不足产生的不利后果。</w:t>
      </w:r>
    </w:p>
    <w:p>
      <w:pPr>
        <w:pStyle w:val="null3"/>
        <w:ind w:firstLine="480"/>
        <w:jc w:val="left"/>
      </w:pPr>
      <w:r>
        <w:rPr/>
        <w:t>四、采购平台技术支持：</w:t>
      </w:r>
    </w:p>
    <w:p>
      <w:pPr>
        <w:pStyle w:val="null3"/>
        <w:ind w:firstLine="480"/>
        <w:jc w:val="left"/>
      </w:pPr>
      <w:r>
        <w:rPr/>
        <w:t>在线客服：通过四川政府采购网-在线客服进行咨询</w:t>
      </w:r>
    </w:p>
    <w:p>
      <w:pPr>
        <w:pStyle w:val="null3"/>
        <w:ind w:firstLine="480"/>
        <w:jc w:val="left"/>
      </w:pPr>
      <w:r>
        <w:rPr/>
        <w:t>400服务电话：4001600900</w:t>
      </w:r>
    </w:p>
    <w:p>
      <w:pPr>
        <w:pStyle w:val="null3"/>
        <w:ind w:firstLine="480"/>
        <w:jc w:val="left"/>
      </w:pPr>
      <w:r>
        <w:rPr/>
        <w:t>CA及签章服务电话：通过四川政府采购网-办事指南进行查询</w:t>
      </w:r>
    </w:p>
    <w:p>
      <w:pPr>
        <w:pStyle w:val="null3"/>
        <w:jc w:val="left"/>
        <w:outlineLvl w:val="2"/>
      </w:pPr>
      <w:r>
        <w:rPr>
          <w:b/>
          <w:sz w:val="28"/>
        </w:rPr>
        <w:t>1.7.招标文件获取时间、方式及地址</w:t>
      </w:r>
    </w:p>
    <w:p>
      <w:pPr>
        <w:pStyle w:val="null3"/>
        <w:ind w:firstLine="480"/>
        <w:jc w:val="left"/>
      </w:pPr>
      <w:r>
        <w:rPr/>
        <w:t xml:space="preserve">一、招标文件获取时间： </w:t>
      </w:r>
      <w:r>
        <w:rPr/>
        <w:t>详见采购公告</w:t>
      </w:r>
      <w:r>
        <w:rPr/>
        <w:t>。</w:t>
      </w:r>
    </w:p>
    <w:p>
      <w:pPr>
        <w:pStyle w:val="null3"/>
        <w:ind w:firstLine="480"/>
        <w:jc w:val="left"/>
      </w:pPr>
      <w:r>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t>注：获取的招标文件由正文和附件组成，正文部分包括pdf、word两种格式版本，如内容有不一致的，以pdf格式内容为准。</w:t>
      </w:r>
    </w:p>
    <w:p>
      <w:pPr>
        <w:pStyle w:val="null3"/>
        <w:jc w:val="left"/>
        <w:outlineLvl w:val="2"/>
      </w:pPr>
      <w:r>
        <w:rPr>
          <w:b/>
          <w:sz w:val="28"/>
        </w:rPr>
        <w:t>1.8.投标截止时间及开标时间、方式、地点</w:t>
      </w:r>
    </w:p>
    <w:p>
      <w:pPr>
        <w:pStyle w:val="null3"/>
        <w:ind w:firstLine="480"/>
        <w:jc w:val="left"/>
      </w:pPr>
      <w:r>
        <w:rPr/>
        <w:t xml:space="preserve">一、投标截止时间及开标时间： </w:t>
      </w:r>
      <w:r>
        <w:rPr/>
        <w:t>详见采购公告</w:t>
      </w:r>
      <w:r>
        <w:rPr/>
        <w:t>。</w:t>
      </w:r>
    </w:p>
    <w:p>
      <w:pPr>
        <w:pStyle w:val="null3"/>
        <w:ind w:firstLine="480"/>
        <w:jc w:val="left"/>
      </w:pPr>
      <w:r>
        <w:rPr/>
        <w:t>二、投标人应当在投标截止时间前，通过交易系统提交投标文件。成功提交的，投标人将收到已提交投标文件的回执单。</w:t>
      </w:r>
    </w:p>
    <w:p>
      <w:pPr>
        <w:pStyle w:val="null3"/>
        <w:ind w:firstLine="480"/>
        <w:jc w:val="left"/>
      </w:pPr>
      <w:r>
        <w:rPr/>
        <w:t>三、本项目采取网上开标，采购人或者代理机构通过交易系统“开标/开启大厅”组织在线开标。</w:t>
      </w:r>
    </w:p>
    <w:p>
      <w:pPr>
        <w:pStyle w:val="null3"/>
        <w:jc w:val="left"/>
        <w:outlineLvl w:val="2"/>
      </w:pPr>
      <w:r>
        <w:rPr>
          <w:b/>
          <w:sz w:val="28"/>
        </w:rPr>
        <w:t>1.9.供应商信用融资</w:t>
      </w:r>
    </w:p>
    <w:p>
      <w:pPr>
        <w:pStyle w:val="null3"/>
        <w:ind w:firstLine="480"/>
        <w:jc w:val="left"/>
      </w:pPr>
      <w:r>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b/>
          <w:sz w:val="28"/>
        </w:rPr>
        <w:t>1.10.联系方式</w:t>
      </w:r>
    </w:p>
    <w:p>
      <w:pPr>
        <w:pStyle w:val="null3"/>
        <w:jc w:val="left"/>
      </w:pPr>
      <w:r>
        <w:rPr>
          <w:b/>
        </w:rPr>
        <w:t>采购人</w:t>
      </w:r>
      <w:r>
        <w:rPr>
          <w:b/>
        </w:rPr>
        <w:t xml:space="preserve">： </w:t>
      </w:r>
      <w:r>
        <w:rPr>
          <w:b/>
        </w:rPr>
        <w:t>成都市人民政府国防动员办公室</w:t>
      </w:r>
    </w:p>
    <w:p>
      <w:pPr>
        <w:pStyle w:val="null3"/>
        <w:jc w:val="left"/>
      </w:pPr>
      <w:r>
        <w:rPr/>
        <w:t xml:space="preserve"> 地址： </w:t>
      </w:r>
      <w:r>
        <w:rPr/>
        <w:t>成都市高新区锦城大道737号</w:t>
      </w:r>
    </w:p>
    <w:p>
      <w:pPr>
        <w:pStyle w:val="null3"/>
        <w:jc w:val="left"/>
      </w:pPr>
      <w:r>
        <w:rPr/>
        <w:t xml:space="preserve"> 邮编： </w:t>
      </w:r>
      <w:r>
        <w:rPr/>
        <w:t>610000</w:t>
      </w:r>
    </w:p>
    <w:p>
      <w:pPr>
        <w:pStyle w:val="null3"/>
        <w:jc w:val="left"/>
      </w:pPr>
      <w:r>
        <w:rPr/>
        <w:t xml:space="preserve"> 联系人： </w:t>
      </w:r>
      <w:r>
        <w:rPr/>
        <w:t>先老师</w:t>
      </w:r>
    </w:p>
    <w:p>
      <w:pPr>
        <w:pStyle w:val="null3"/>
        <w:jc w:val="left"/>
      </w:pPr>
      <w:r>
        <w:rPr/>
        <w:t xml:space="preserve"> 联系电话： </w:t>
      </w:r>
      <w:r>
        <w:rPr/>
        <w:t>028-61885963</w:t>
      </w:r>
    </w:p>
    <w:p>
      <w:pPr>
        <w:pStyle w:val="null3"/>
        <w:jc w:val="left"/>
      </w:pPr>
      <w:r>
        <w:rPr>
          <w:b/>
        </w:rPr>
        <w:t>代理机构</w:t>
      </w:r>
      <w:r>
        <w:rPr>
          <w:b/>
        </w:rPr>
        <w:t xml:space="preserve">： </w:t>
      </w:r>
      <w:r>
        <w:rPr>
          <w:b/>
        </w:rPr>
        <w:t>四川蜀理项目管理咨询有限公司</w:t>
      </w:r>
    </w:p>
    <w:p>
      <w:pPr>
        <w:pStyle w:val="null3"/>
        <w:jc w:val="left"/>
      </w:pPr>
      <w:r>
        <w:rPr/>
        <w:t xml:space="preserve"> 地址： </w:t>
      </w:r>
      <w:r>
        <w:rPr/>
        <w:t>四川省成都市青羊区光华东三路486号中铁西城写字楼5栋12层1201号</w:t>
      </w:r>
    </w:p>
    <w:p>
      <w:pPr>
        <w:pStyle w:val="null3"/>
        <w:jc w:val="left"/>
      </w:pPr>
      <w:r>
        <w:rPr/>
        <w:t xml:space="preserve"> 邮编： </w:t>
      </w:r>
      <w:r>
        <w:rPr/>
        <w:t>610000</w:t>
      </w:r>
    </w:p>
    <w:p>
      <w:pPr>
        <w:pStyle w:val="null3"/>
        <w:jc w:val="left"/>
      </w:pPr>
      <w:r>
        <w:rPr/>
        <w:t xml:space="preserve"> 联系人： </w:t>
      </w:r>
      <w:r>
        <w:rPr/>
        <w:t>冯老师</w:t>
      </w:r>
    </w:p>
    <w:p>
      <w:pPr>
        <w:pStyle w:val="null3"/>
        <w:jc w:val="left"/>
      </w:pPr>
      <w:r>
        <w:rPr/>
        <w:t xml:space="preserve"> 联系电话： </w:t>
      </w:r>
      <w:r>
        <w:rPr/>
        <w:t>028-87372682</w:t>
      </w:r>
    </w:p>
    <w:p>
      <w:pPr>
        <w:pStyle w:val="null3"/>
      </w:pPr>
      <w:r>
        <w:rPr/>
        <w:t xml:space="preserve"> </w:t>
        <w:br/>
        <w:br w:type="page"/>
      </w:r>
    </w:p>
    <w:p>
      <w:pPr>
        <w:pStyle w:val="null3"/>
        <w:jc w:val="center"/>
        <w:outlineLvl w:val="1"/>
      </w:pPr>
      <w:r>
        <w:rPr>
          <w:b/>
          <w:sz w:val="36"/>
        </w:rPr>
        <w:t>第二章 投标人须知</w:t>
      </w:r>
    </w:p>
    <w:p>
      <w:pPr>
        <w:pStyle w:val="null3"/>
        <w:jc w:val="left"/>
        <w:outlineLvl w:val="2"/>
      </w:pPr>
      <w:r>
        <w:rPr>
          <w:b/>
          <w:sz w:val="28"/>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t>序号</w:t>
            </w:r>
          </w:p>
        </w:tc>
        <w:tc>
          <w:tcPr>
            <w:tcW w:type="dxa" w:w="2252"/>
          </w:tcPr>
          <w:p>
            <w:pPr>
              <w:pStyle w:val="null3"/>
              <w:jc w:val="left"/>
            </w:pPr>
            <w:r>
              <w:rPr/>
              <w:t>应知事项</w:t>
            </w:r>
          </w:p>
        </w:tc>
        <w:tc>
          <w:tcPr>
            <w:tcW w:type="dxa" w:w="5004"/>
          </w:tcPr>
          <w:p>
            <w:pPr>
              <w:pStyle w:val="null3"/>
              <w:jc w:val="left"/>
            </w:pPr>
            <w:r>
              <w:rPr/>
              <w:t>说明和要求</w:t>
            </w:r>
          </w:p>
        </w:tc>
      </w:tr>
      <w:tr>
        <w:tc>
          <w:tcPr>
            <w:tcW w:type="dxa" w:w="1051"/>
          </w:tcPr>
          <w:p>
            <w:pPr>
              <w:pStyle w:val="null3"/>
              <w:jc w:val="left"/>
            </w:pPr>
            <w:r>
              <w:rPr/>
              <w:t>1.</w:t>
            </w:r>
          </w:p>
        </w:tc>
        <w:tc>
          <w:tcPr>
            <w:tcW w:type="dxa" w:w="2252"/>
          </w:tcPr>
          <w:p>
            <w:pPr>
              <w:pStyle w:val="null3"/>
              <w:jc w:val="left"/>
            </w:pPr>
            <w:r>
              <w:rPr/>
              <w:t>采购预算及最高限价★</w:t>
            </w:r>
          </w:p>
        </w:tc>
        <w:tc>
          <w:tcPr>
            <w:tcW w:type="dxa" w:w="5004"/>
          </w:tcPr>
          <w:p>
            <w:pPr>
              <w:pStyle w:val="null3"/>
              <w:jc w:val="left"/>
            </w:pPr>
            <w:r>
              <w:rPr/>
              <w:t>本项目各包采购预算金额如下：</w:t>
            </w:r>
          </w:p>
          <w:p>
            <w:pPr>
              <w:pStyle w:val="null3"/>
              <w:jc w:val="left"/>
            </w:pPr>
            <w:r>
              <w:rPr/>
              <w:t>采购包1：500,000.00元</w:t>
            </w:r>
          </w:p>
          <w:p>
            <w:pPr>
              <w:pStyle w:val="null3"/>
              <w:jc w:val="left"/>
            </w:pPr>
            <w:r>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t>2.</w:t>
            </w:r>
          </w:p>
        </w:tc>
        <w:tc>
          <w:tcPr>
            <w:tcW w:type="dxa" w:w="2252"/>
          </w:tcPr>
          <w:p>
            <w:pPr>
              <w:pStyle w:val="null3"/>
              <w:jc w:val="left"/>
            </w:pPr>
            <w:r>
              <w:rPr/>
              <w:t>评标方法</w:t>
            </w:r>
          </w:p>
        </w:tc>
        <w:tc>
          <w:tcPr>
            <w:tcW w:type="dxa" w:w="5004"/>
          </w:tcPr>
          <w:p>
            <w:pPr>
              <w:pStyle w:val="null3"/>
              <w:jc w:val="left"/>
            </w:pPr>
            <w:r>
              <w:rPr/>
              <w:t>采购包1：综合评分法</w:t>
            </w:r>
            <w:r>
              <w:rPr/>
              <w:t xml:space="preserve"> （具体规则详见第五章）</w:t>
            </w:r>
          </w:p>
        </w:tc>
      </w:tr>
      <w:tr>
        <w:tc>
          <w:tcPr>
            <w:tcW w:type="dxa" w:w="1051"/>
          </w:tcPr>
          <w:p>
            <w:pPr>
              <w:pStyle w:val="null3"/>
              <w:jc w:val="left"/>
            </w:pPr>
            <w:r>
              <w:rPr/>
              <w:t>3.</w:t>
            </w:r>
          </w:p>
        </w:tc>
        <w:tc>
          <w:tcPr>
            <w:tcW w:type="dxa" w:w="2252"/>
          </w:tcPr>
          <w:p>
            <w:pPr>
              <w:pStyle w:val="null3"/>
              <w:jc w:val="left"/>
            </w:pPr>
            <w:r>
              <w:rPr/>
              <w:t>是否接受联合体★</w:t>
            </w:r>
          </w:p>
        </w:tc>
        <w:tc>
          <w:tcPr>
            <w:tcW w:type="dxa" w:w="5004"/>
          </w:tcPr>
          <w:p>
            <w:pPr>
              <w:pStyle w:val="null3"/>
              <w:jc w:val="left"/>
            </w:pPr>
            <w:r>
              <w:rPr/>
              <w:t>采购包1：不接受联合体</w:t>
            </w:r>
          </w:p>
          <w:p>
            <w:pPr>
              <w:pStyle w:val="null3"/>
              <w:jc w:val="left"/>
            </w:pPr>
            <w:r>
              <w:rPr/>
              <w:t xml:space="preserve"> 如接受联合体，需符合以下要求：</w:t>
            </w:r>
          </w:p>
          <w:p>
            <w:pPr>
              <w:pStyle w:val="null3"/>
              <w:jc w:val="left"/>
            </w:pPr>
            <w:r>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t xml:space="preserve"> 三、联合体各方应当共同与采购人签订采购合同，就采购合同约定的事项对采购人承担连带责任。</w:t>
            </w:r>
          </w:p>
        </w:tc>
      </w:tr>
      <w:tr>
        <w:tc>
          <w:tcPr>
            <w:tcW w:type="dxa" w:w="1051"/>
          </w:tcPr>
          <w:p>
            <w:pPr>
              <w:pStyle w:val="null3"/>
              <w:jc w:val="left"/>
            </w:pPr>
            <w:r>
              <w:rPr/>
              <w:t>4.</w:t>
            </w:r>
          </w:p>
        </w:tc>
        <w:tc>
          <w:tcPr>
            <w:tcW w:type="dxa" w:w="2252"/>
          </w:tcPr>
          <w:p>
            <w:pPr>
              <w:pStyle w:val="null3"/>
              <w:jc w:val="left"/>
            </w:pPr>
            <w:r>
              <w:rPr/>
              <w:t>投标（响应）保证金★</w:t>
            </w:r>
          </w:p>
        </w:tc>
        <w:tc>
          <w:tcPr>
            <w:tcW w:type="dxa" w:w="5004"/>
          </w:tcPr>
          <w:p>
            <w:pPr>
              <w:pStyle w:val="null3"/>
              <w:jc w:val="left"/>
            </w:pPr>
            <w:r>
              <w:rPr/>
              <w:t>本项目不收取投标（响应）保证金。</w:t>
            </w:r>
          </w:p>
        </w:tc>
      </w:tr>
      <w:tr>
        <w:tc>
          <w:tcPr>
            <w:tcW w:type="dxa" w:w="1051"/>
          </w:tcPr>
          <w:p>
            <w:pPr>
              <w:pStyle w:val="null3"/>
              <w:jc w:val="left"/>
            </w:pPr>
            <w:r>
              <w:rPr/>
              <w:t>5.</w:t>
            </w:r>
          </w:p>
        </w:tc>
        <w:tc>
          <w:tcPr>
            <w:tcW w:type="dxa" w:w="2252"/>
          </w:tcPr>
          <w:p>
            <w:pPr>
              <w:pStyle w:val="null3"/>
              <w:jc w:val="left"/>
            </w:pPr>
            <w:r>
              <w:rPr/>
              <w:t>履约保证金★</w:t>
            </w:r>
          </w:p>
        </w:tc>
        <w:tc>
          <w:tcPr>
            <w:tcW w:type="dxa" w:w="5004"/>
          </w:tcPr>
          <w:p>
            <w:pPr>
              <w:pStyle w:val="null3"/>
              <w:jc w:val="left"/>
            </w:pPr>
            <w:r>
              <w:rPr/>
              <w:t>采购包1：不收取</w:t>
            </w:r>
          </w:p>
        </w:tc>
      </w:tr>
      <w:tr>
        <w:tc>
          <w:tcPr>
            <w:tcW w:type="dxa" w:w="1051"/>
          </w:tcPr>
          <w:p>
            <w:pPr>
              <w:pStyle w:val="null3"/>
              <w:jc w:val="left"/>
            </w:pPr>
            <w:r>
              <w:rPr/>
              <w:t>6.</w:t>
            </w:r>
          </w:p>
        </w:tc>
        <w:tc>
          <w:tcPr>
            <w:tcW w:type="dxa" w:w="2252"/>
          </w:tcPr>
          <w:p>
            <w:pPr>
              <w:pStyle w:val="null3"/>
              <w:jc w:val="left"/>
            </w:pPr>
            <w:r>
              <w:rPr/>
              <w:t>投标有效期★</w:t>
            </w:r>
          </w:p>
        </w:tc>
        <w:tc>
          <w:tcPr>
            <w:tcW w:type="dxa" w:w="5004"/>
          </w:tcPr>
          <w:p>
            <w:pPr>
              <w:pStyle w:val="null3"/>
              <w:jc w:val="left"/>
            </w:pPr>
            <w:r>
              <w:rPr/>
              <w:t xml:space="preserve">提交投标文件的截止之日起不少于 </w:t>
            </w:r>
            <w:r>
              <w:rPr/>
              <w:t>90</w:t>
            </w:r>
            <w:r>
              <w:rPr/>
              <w:t xml:space="preserve"> 天。投标文件未明确投标有效期或者少于前述规定天数的，其投标文件按无效处理。</w:t>
            </w:r>
          </w:p>
        </w:tc>
      </w:tr>
      <w:tr>
        <w:tc>
          <w:tcPr>
            <w:tcW w:type="dxa" w:w="1051"/>
          </w:tcPr>
          <w:p>
            <w:pPr>
              <w:pStyle w:val="null3"/>
              <w:jc w:val="left"/>
            </w:pPr>
            <w:r>
              <w:rPr/>
              <w:t>7.</w:t>
            </w:r>
          </w:p>
        </w:tc>
        <w:tc>
          <w:tcPr>
            <w:tcW w:type="dxa" w:w="2252"/>
          </w:tcPr>
          <w:p>
            <w:pPr>
              <w:pStyle w:val="null3"/>
              <w:jc w:val="left"/>
            </w:pPr>
            <w:r>
              <w:rPr/>
              <w:t>代理服务费★</w:t>
            </w:r>
          </w:p>
        </w:tc>
        <w:tc>
          <w:tcPr>
            <w:tcW w:type="dxa" w:w="5004"/>
          </w:tcPr>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代理服务费收费标准：按照中标价*1.5%*0.8计算，不足8000元，按8000元收取。</w:t>
            </w:r>
          </w:p>
        </w:tc>
      </w:tr>
      <w:tr>
        <w:tc>
          <w:tcPr>
            <w:tcW w:type="dxa" w:w="1051"/>
          </w:tcPr>
          <w:p>
            <w:pPr>
              <w:pStyle w:val="null3"/>
              <w:jc w:val="left"/>
            </w:pPr>
            <w:r>
              <w:rPr/>
              <w:t>8.</w:t>
            </w:r>
          </w:p>
        </w:tc>
        <w:tc>
          <w:tcPr>
            <w:tcW w:type="dxa" w:w="2252"/>
          </w:tcPr>
          <w:p>
            <w:pPr>
              <w:pStyle w:val="null3"/>
              <w:jc w:val="left"/>
            </w:pPr>
            <w:r>
              <w:rPr/>
              <w:t>中标结果公告</w:t>
            </w:r>
          </w:p>
        </w:tc>
        <w:tc>
          <w:tcPr>
            <w:tcW w:type="dxa" w:w="5004"/>
          </w:tcPr>
          <w:p>
            <w:pPr>
              <w:pStyle w:val="null3"/>
              <w:jc w:val="left"/>
            </w:pPr>
            <w:r>
              <w:rPr/>
              <w:t>中标结果将在四川政府采购网予以公告。</w:t>
            </w:r>
          </w:p>
        </w:tc>
      </w:tr>
      <w:tr>
        <w:tc>
          <w:tcPr>
            <w:tcW w:type="dxa" w:w="1051"/>
          </w:tcPr>
          <w:p>
            <w:pPr>
              <w:pStyle w:val="null3"/>
              <w:jc w:val="left"/>
            </w:pPr>
            <w:r>
              <w:rPr/>
              <w:t>9.</w:t>
            </w:r>
          </w:p>
        </w:tc>
        <w:tc>
          <w:tcPr>
            <w:tcW w:type="dxa" w:w="2252"/>
          </w:tcPr>
          <w:p>
            <w:pPr>
              <w:pStyle w:val="null3"/>
              <w:jc w:val="left"/>
            </w:pPr>
            <w:r>
              <w:rPr/>
              <w:t>是否组织潜在供应商现场考察</w:t>
            </w:r>
          </w:p>
        </w:tc>
        <w:tc>
          <w:tcPr>
            <w:tcW w:type="dxa" w:w="5004"/>
          </w:tcPr>
          <w:p>
            <w:pPr>
              <w:pStyle w:val="null3"/>
              <w:jc w:val="left"/>
            </w:pPr>
            <w:r>
              <w:rPr/>
              <w:t>采购包1：否</w:t>
            </w:r>
          </w:p>
        </w:tc>
      </w:tr>
      <w:tr>
        <w:tc>
          <w:tcPr>
            <w:tcW w:type="dxa" w:w="1051"/>
          </w:tcPr>
          <w:p>
            <w:pPr>
              <w:pStyle w:val="null3"/>
              <w:jc w:val="left"/>
            </w:pPr>
            <w:r>
              <w:rPr/>
              <w:t>10.</w:t>
            </w:r>
          </w:p>
        </w:tc>
        <w:tc>
          <w:tcPr>
            <w:tcW w:type="dxa" w:w="2252"/>
          </w:tcPr>
          <w:p>
            <w:pPr>
              <w:pStyle w:val="null3"/>
              <w:jc w:val="left"/>
            </w:pPr>
            <w:r>
              <w:rPr/>
              <w:t>是否召开开标前答疑会</w:t>
            </w:r>
          </w:p>
        </w:tc>
        <w:tc>
          <w:tcPr>
            <w:tcW w:type="dxa" w:w="5004"/>
          </w:tcPr>
          <w:p>
            <w:pPr>
              <w:pStyle w:val="null3"/>
              <w:jc w:val="left"/>
            </w:pPr>
            <w:r>
              <w:rPr/>
              <w:t>本项目不组织。</w:t>
            </w:r>
          </w:p>
        </w:tc>
      </w:tr>
      <w:tr>
        <w:tc>
          <w:tcPr>
            <w:tcW w:type="dxa" w:w="1051"/>
          </w:tcPr>
          <w:p>
            <w:pPr>
              <w:pStyle w:val="null3"/>
              <w:jc w:val="left"/>
            </w:pPr>
            <w:r>
              <w:rPr/>
              <w:t>11.</w:t>
            </w:r>
          </w:p>
        </w:tc>
        <w:tc>
          <w:tcPr>
            <w:tcW w:type="dxa" w:w="2252"/>
          </w:tcPr>
          <w:p>
            <w:pPr>
              <w:pStyle w:val="null3"/>
              <w:jc w:val="left"/>
            </w:pPr>
            <w:r>
              <w:rPr/>
              <w:t>特殊情况</w:t>
            </w:r>
          </w:p>
        </w:tc>
        <w:tc>
          <w:tcPr>
            <w:tcW w:type="dxa" w:w="5004"/>
          </w:tcPr>
          <w:p>
            <w:pPr>
              <w:pStyle w:val="null3"/>
              <w:jc w:val="left"/>
            </w:pPr>
            <w:r>
              <w:rPr/>
              <w:t>出现下列情形之一的，采购人或者代理机构应当中止电子化采购活动，并保留相关证明材料备查：</w:t>
            </w:r>
          </w:p>
          <w:p>
            <w:pPr>
              <w:pStyle w:val="null3"/>
              <w:jc w:val="left"/>
            </w:pPr>
            <w:r>
              <w:rPr/>
              <w:t xml:space="preserve"> 一、交易系统发生故障（包括感染病毒、应用或数据库出错）而无法正常使用的；</w:t>
            </w:r>
          </w:p>
          <w:p>
            <w:pPr>
              <w:pStyle w:val="null3"/>
              <w:jc w:val="left"/>
            </w:pPr>
            <w:r>
              <w:rPr/>
              <w:t xml:space="preserve"> 二、因组织场所停电、断网等原因，导致采购活动无法继续通过交易系统实施的；</w:t>
            </w:r>
          </w:p>
          <w:p>
            <w:pPr>
              <w:pStyle w:val="null3"/>
              <w:jc w:val="left"/>
            </w:pPr>
            <w:r>
              <w:rPr/>
              <w:t xml:space="preserve"> 三、其他无法保证电子化交易的公平、公正和安全的情况。</w:t>
            </w:r>
          </w:p>
          <w:p>
            <w:pPr>
              <w:pStyle w:val="null3"/>
              <w:jc w:val="left"/>
            </w:pPr>
            <w:r>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t xml:space="preserve"> 注：</w:t>
            </w:r>
          </w:p>
          <w:p>
            <w:pPr>
              <w:pStyle w:val="null3"/>
              <w:jc w:val="left"/>
            </w:pPr>
            <w:r>
              <w:rPr/>
              <w:t xml:space="preserve"> 1.平台系统故障认定以四川政府采购网发布的系统运维通知内容为准；</w:t>
            </w:r>
          </w:p>
          <w:p>
            <w:pPr>
              <w:pStyle w:val="null3"/>
              <w:jc w:val="left"/>
            </w:pPr>
            <w:r>
              <w:rPr/>
              <w:t xml:space="preserve"> 2.故障处理详见第二章规定。</w:t>
            </w:r>
          </w:p>
        </w:tc>
      </w:tr>
      <w:tr>
        <w:tc>
          <w:tcPr>
            <w:tcW w:type="dxa" w:w="1051"/>
          </w:tcPr>
          <w:p>
            <w:pPr>
              <w:pStyle w:val="null3"/>
              <w:jc w:val="left"/>
            </w:pPr>
            <w:r>
              <w:rPr/>
              <w:t>12.</w:t>
            </w:r>
          </w:p>
        </w:tc>
        <w:tc>
          <w:tcPr>
            <w:tcW w:type="dxa" w:w="2252"/>
          </w:tcPr>
          <w:p>
            <w:pPr>
              <w:pStyle w:val="null3"/>
              <w:jc w:val="left"/>
            </w:pPr>
            <w:r>
              <w:rPr/>
              <w:t>报价/分值精确度</w:t>
            </w:r>
          </w:p>
        </w:tc>
        <w:tc>
          <w:tcPr>
            <w:tcW w:type="dxa" w:w="5004"/>
          </w:tcPr>
          <w:p>
            <w:pPr>
              <w:pStyle w:val="null3"/>
              <w:jc w:val="left"/>
            </w:pPr>
            <w:r>
              <w:rPr/>
              <w:t>所有数据项默认最多可输入/展示至小数点后2位，超出小数点位的数值采用四舍五入的方式进行保留。</w:t>
            </w:r>
          </w:p>
        </w:tc>
      </w:tr>
      <w:tr>
        <w:tc>
          <w:tcPr>
            <w:tcW w:type="dxa" w:w="1051"/>
          </w:tcPr>
          <w:p>
            <w:pPr>
              <w:pStyle w:val="null3"/>
              <w:jc w:val="left"/>
            </w:pPr>
            <w:r>
              <w:rPr/>
              <w:t>13.</w:t>
            </w:r>
          </w:p>
        </w:tc>
        <w:tc>
          <w:tcPr>
            <w:tcW w:type="dxa" w:w="2252"/>
          </w:tcPr>
          <w:p>
            <w:pPr>
              <w:pStyle w:val="null3"/>
              <w:jc w:val="left"/>
            </w:pPr>
            <w:r>
              <w:rPr/>
              <w:t>实质性要求</w:t>
            </w:r>
          </w:p>
        </w:tc>
        <w:tc>
          <w:tcPr>
            <w:tcW w:type="dxa" w:w="5004"/>
          </w:tcPr>
          <w:p>
            <w:pPr>
              <w:pStyle w:val="null3"/>
              <w:jc w:val="left"/>
            </w:pPr>
            <w:r>
              <w:rPr/>
              <w:t>本招标文件中“★”要求为实质性要求。投标人应当按照第五章评审程序中的符合性审查规定，在投标文件中进行实质性响应，否则作无效投标处理。</w:t>
            </w:r>
          </w:p>
        </w:tc>
      </w:tr>
      <w:tr>
        <w:tc>
          <w:tcPr>
            <w:tcW w:type="dxa" w:w="1051"/>
          </w:tcPr>
          <w:p>
            <w:pPr>
              <w:pStyle w:val="null3"/>
              <w:jc w:val="left"/>
            </w:pPr>
            <w:r>
              <w:rPr/>
              <w:t>14.</w:t>
            </w:r>
          </w:p>
        </w:tc>
        <w:tc>
          <w:tcPr>
            <w:tcW w:type="dxa" w:w="2252"/>
          </w:tcPr>
          <w:p>
            <w:pPr>
              <w:pStyle w:val="null3"/>
              <w:jc w:val="left"/>
            </w:pPr>
            <w:r>
              <w:rPr/>
              <w:t>其他说明</w:t>
            </w:r>
          </w:p>
        </w:tc>
        <w:tc>
          <w:tcPr>
            <w:tcW w:type="dxa" w:w="5004"/>
          </w:tcPr>
          <w:p>
            <w:pPr>
              <w:pStyle w:val="null3"/>
              <w:jc w:val="left"/>
            </w:pPr>
            <w:r>
              <w:rPr/>
              <w:t>本招标文件所称的“以上”、“以下”、“内”、“以内”、“超过”、“少于”、“不少于”包括本数；所称的“不足”、“低于”、“不低于”不包括本数。</w:t>
            </w:r>
          </w:p>
        </w:tc>
      </w:tr>
    </w:tbl>
    <w:p>
      <w:pPr>
        <w:pStyle w:val="null3"/>
        <w:jc w:val="left"/>
        <w:outlineLvl w:val="2"/>
      </w:pPr>
      <w:r>
        <w:rPr>
          <w:b/>
          <w:sz w:val="28"/>
        </w:rPr>
        <w:t>2.2.总则</w:t>
      </w:r>
    </w:p>
    <w:p>
      <w:pPr>
        <w:pStyle w:val="null3"/>
        <w:jc w:val="left"/>
        <w:outlineLvl w:val="3"/>
      </w:pPr>
      <w:r>
        <w:rPr>
          <w:b/>
          <w:sz w:val="24"/>
        </w:rPr>
        <w:t>2.2.1.适用范围</w:t>
      </w:r>
    </w:p>
    <w:p>
      <w:pPr>
        <w:pStyle w:val="null3"/>
        <w:ind w:firstLine="480"/>
        <w:jc w:val="left"/>
      </w:pPr>
      <w:r>
        <w:rPr/>
        <w:t>一、本招标文件仅适用于本次公开招标采购项目。</w:t>
      </w:r>
    </w:p>
    <w:p>
      <w:pPr>
        <w:pStyle w:val="null3"/>
        <w:ind w:firstLine="480"/>
        <w:jc w:val="left"/>
      </w:pPr>
      <w:r>
        <w:rPr/>
        <w:t xml:space="preserve">二、本招标文件由 </w:t>
      </w:r>
      <w:r>
        <w:rPr/>
        <w:t>成都市人民政府国防动员办公室</w:t>
      </w:r>
      <w:r>
        <w:rPr/>
        <w:t xml:space="preserve"> 和 </w:t>
      </w:r>
      <w:r>
        <w:rPr/>
        <w:t>四川蜀理项目管理咨询有限公司</w:t>
      </w:r>
      <w:r>
        <w:rPr/>
        <w:t xml:space="preserve"> 负责解释。</w:t>
      </w:r>
    </w:p>
    <w:p>
      <w:pPr>
        <w:pStyle w:val="null3"/>
        <w:jc w:val="left"/>
        <w:outlineLvl w:val="3"/>
      </w:pPr>
      <w:r>
        <w:rPr>
          <w:b/>
          <w:sz w:val="24"/>
        </w:rPr>
        <w:t>2.2.2.有关定义</w:t>
      </w:r>
    </w:p>
    <w:p>
      <w:pPr>
        <w:pStyle w:val="null3"/>
        <w:ind w:firstLine="480"/>
        <w:jc w:val="left"/>
      </w:pPr>
      <w:r>
        <w:rPr/>
        <w:t xml:space="preserve">一、“采购人”是指依法进行政府采购的国家机关、事业单位、团体组织。本次招标的采购人是 </w:t>
      </w:r>
      <w:r>
        <w:rPr/>
        <w:t>成都市人民政府国防动员办公室</w:t>
      </w:r>
      <w:r>
        <w:rPr/>
        <w:t xml:space="preserve"> 。</w:t>
      </w:r>
    </w:p>
    <w:p>
      <w:pPr>
        <w:pStyle w:val="null3"/>
        <w:ind w:firstLine="480"/>
        <w:jc w:val="left"/>
      </w:pPr>
      <w:r>
        <w:rPr/>
        <w:t>二、“投标人”是指按照采购公告规定获取招标文件，参加投标竞争的法人、其他组织或者自然人。</w:t>
      </w:r>
    </w:p>
    <w:p>
      <w:pPr>
        <w:pStyle w:val="null3"/>
        <w:ind w:firstLine="480"/>
        <w:jc w:val="left"/>
      </w:pPr>
      <w:r>
        <w:rPr/>
        <w:t xml:space="preserve">三、“代理机构”是指集中采购机构和从事采购代理业务的社会中介机构。本项目的代理机构是 </w:t>
      </w:r>
      <w:r>
        <w:rPr/>
        <w:t>四川蜀理项目管理咨询有限公司</w:t>
      </w:r>
      <w:r>
        <w:rPr/>
        <w:t xml:space="preserve"> 。</w:t>
      </w:r>
    </w:p>
    <w:p>
      <w:pPr>
        <w:pStyle w:val="null3"/>
        <w:ind w:firstLine="480"/>
        <w:jc w:val="left"/>
      </w:pPr>
      <w:r>
        <w:rPr/>
        <w:t>四、“网上开标”是指代理机构通过交易系统在线组织投标文件解密，投标人通过交易系统在线解密投标文件等活动。</w:t>
      </w:r>
    </w:p>
    <w:p>
      <w:pPr>
        <w:pStyle w:val="null3"/>
        <w:ind w:firstLine="480"/>
        <w:jc w:val="left"/>
      </w:pPr>
      <w:r>
        <w:rPr/>
        <w:t>五、“电子评标”是指评标委员会开展资格审查、符合性审查、比较与评价、推荐中标候选人、出具评标报告等活动。</w:t>
      </w:r>
    </w:p>
    <w:p>
      <w:pPr>
        <w:pStyle w:val="null3"/>
        <w:jc w:val="left"/>
        <w:outlineLvl w:val="2"/>
      </w:pPr>
      <w:r>
        <w:rPr>
          <w:b/>
          <w:sz w:val="28"/>
        </w:rPr>
        <w:t>2.3.招标文件</w:t>
      </w:r>
    </w:p>
    <w:p>
      <w:pPr>
        <w:pStyle w:val="null3"/>
        <w:jc w:val="left"/>
        <w:outlineLvl w:val="3"/>
      </w:pPr>
      <w:r>
        <w:rPr>
          <w:b/>
          <w:sz w:val="24"/>
        </w:rPr>
        <w:t>2.3.1.招标文件的构成</w:t>
      </w:r>
    </w:p>
    <w:p>
      <w:pPr>
        <w:pStyle w:val="null3"/>
        <w:ind w:firstLine="480"/>
        <w:jc w:val="left"/>
      </w:pPr>
      <w:r>
        <w:rPr/>
        <w:t>招标文件由采购人、代理机构编制，是项目采购活动开展的基本依据，主要包括以下内容：</w:t>
      </w:r>
    </w:p>
    <w:p>
      <w:pPr>
        <w:pStyle w:val="null3"/>
        <w:ind w:firstLine="480"/>
        <w:jc w:val="left"/>
      </w:pPr>
      <w:r>
        <w:rPr/>
        <w:t>一、投标邀请；</w:t>
      </w:r>
    </w:p>
    <w:p>
      <w:pPr>
        <w:pStyle w:val="null3"/>
        <w:ind w:firstLine="480"/>
        <w:jc w:val="left"/>
      </w:pPr>
      <w:r>
        <w:rPr/>
        <w:t>二、投标人须知；</w:t>
      </w:r>
    </w:p>
    <w:p>
      <w:pPr>
        <w:pStyle w:val="null3"/>
        <w:ind w:firstLine="480"/>
        <w:jc w:val="left"/>
      </w:pPr>
      <w:r>
        <w:rPr/>
        <w:t>三、技术、服务及其他要求；</w:t>
      </w:r>
    </w:p>
    <w:p>
      <w:pPr>
        <w:pStyle w:val="null3"/>
        <w:ind w:firstLine="480"/>
        <w:jc w:val="left"/>
      </w:pPr>
      <w:r>
        <w:rPr/>
        <w:t>四、资格审查；</w:t>
      </w:r>
    </w:p>
    <w:p>
      <w:pPr>
        <w:pStyle w:val="null3"/>
        <w:ind w:firstLine="480"/>
        <w:jc w:val="left"/>
      </w:pPr>
      <w:r>
        <w:rPr/>
        <w:t>五、评标办法；</w:t>
      </w:r>
    </w:p>
    <w:p>
      <w:pPr>
        <w:pStyle w:val="null3"/>
        <w:ind w:firstLine="480"/>
        <w:jc w:val="left"/>
      </w:pPr>
      <w:r>
        <w:rPr/>
        <w:t>六、投标文件格式；</w:t>
      </w:r>
    </w:p>
    <w:p>
      <w:pPr>
        <w:pStyle w:val="null3"/>
        <w:ind w:firstLine="480"/>
        <w:jc w:val="left"/>
      </w:pPr>
      <w:r>
        <w:rPr/>
        <w:t>七、拟签订采购合同文本。</w:t>
      </w:r>
    </w:p>
    <w:p>
      <w:pPr>
        <w:pStyle w:val="null3"/>
        <w:jc w:val="left"/>
        <w:outlineLvl w:val="3"/>
      </w:pPr>
      <w:r>
        <w:rPr>
          <w:b/>
          <w:sz w:val="24"/>
        </w:rPr>
        <w:t>2.3.2.招标文件的澄清和修改</w:t>
      </w:r>
    </w:p>
    <w:p>
      <w:pPr>
        <w:pStyle w:val="null3"/>
        <w:ind w:firstLine="480"/>
        <w:jc w:val="left"/>
      </w:pPr>
      <w:r>
        <w:rPr/>
        <w:t>一、投标截止时间前，采购人或者代理机构可以对已发出的招标文件进行必要的澄清或者修改，但不得改变采购标的和资格条件。</w:t>
      </w:r>
    </w:p>
    <w:p>
      <w:pPr>
        <w:pStyle w:val="null3"/>
        <w:ind w:firstLine="480"/>
        <w:jc w:val="left"/>
      </w:pPr>
      <w:r>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供应商发送更正信息；不足15日的，采购人或者代理机构应当顺延提交投标文件的截止时间。</w:t>
      </w:r>
    </w:p>
    <w:p>
      <w:pPr>
        <w:pStyle w:val="null3"/>
        <w:ind w:firstLine="480"/>
        <w:jc w:val="left"/>
      </w:pPr>
      <w:r>
        <w:rPr/>
        <w:t>三、投标人根据更正公告、更正信息要求，重新获取招标文件，进行投标文件编制。</w:t>
      </w:r>
    </w:p>
    <w:p>
      <w:pPr>
        <w:pStyle w:val="null3"/>
        <w:jc w:val="left"/>
        <w:outlineLvl w:val="2"/>
      </w:pPr>
      <w:r>
        <w:rPr>
          <w:b/>
          <w:sz w:val="28"/>
        </w:rPr>
        <w:t>2.4.投标文件</w:t>
      </w:r>
    </w:p>
    <w:p>
      <w:pPr>
        <w:pStyle w:val="null3"/>
        <w:jc w:val="left"/>
        <w:outlineLvl w:val="3"/>
      </w:pPr>
      <w:r>
        <w:rPr>
          <w:b/>
          <w:sz w:val="24"/>
        </w:rPr>
        <w:t>2.4.1.投标文件的语言</w:t>
      </w:r>
    </w:p>
    <w:p>
      <w:pPr>
        <w:pStyle w:val="null3"/>
        <w:ind w:firstLine="480"/>
        <w:jc w:val="left"/>
      </w:pPr>
      <w:r>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t>（一）投标人的法定代表人为外籍人士的，法定代表人的签字和护照。</w:t>
      </w:r>
    </w:p>
    <w:p>
      <w:pPr>
        <w:pStyle w:val="null3"/>
        <w:ind w:firstLine="480"/>
        <w:jc w:val="left"/>
      </w:pPr>
      <w:r>
        <w:rPr/>
        <w:t>（二）对于如生产厂家授权书、原厂技术证明资料及一些行业标准、国家标准、国际标准或者行业认证等需要以非中文表述且不宜翻译为中文的。</w:t>
      </w:r>
    </w:p>
    <w:p>
      <w:pPr>
        <w:pStyle w:val="null3"/>
        <w:ind w:firstLine="480"/>
        <w:jc w:val="left"/>
      </w:pPr>
      <w:r>
        <w:rPr/>
        <w:t>二、翻译的中文资料与外文资料如果出现差异和矛盾，以中文为准。涉嫌提供虚假材料的按照相关法律法规处理。</w:t>
      </w:r>
    </w:p>
    <w:p>
      <w:pPr>
        <w:pStyle w:val="null3"/>
        <w:ind w:firstLine="480"/>
        <w:jc w:val="left"/>
      </w:pPr>
      <w:r>
        <w:rPr/>
        <w:t>三、如因未翻译而造成对投标人的不利后果，由投标人承担。</w:t>
      </w:r>
    </w:p>
    <w:p>
      <w:pPr>
        <w:pStyle w:val="null3"/>
        <w:jc w:val="left"/>
        <w:outlineLvl w:val="3"/>
      </w:pPr>
      <w:r>
        <w:rPr>
          <w:b/>
          <w:sz w:val="24"/>
        </w:rPr>
        <w:t>2.4.2.计量单位★</w:t>
      </w:r>
    </w:p>
    <w:p>
      <w:pPr>
        <w:pStyle w:val="null3"/>
        <w:ind w:firstLine="480"/>
        <w:jc w:val="left"/>
      </w:pPr>
      <w:r>
        <w:rPr/>
        <w:t>除招标文件中另有规定外，本项目均采用国家法定的计量单位。</w:t>
      </w:r>
    </w:p>
    <w:p>
      <w:pPr>
        <w:pStyle w:val="null3"/>
        <w:jc w:val="left"/>
        <w:outlineLvl w:val="3"/>
      </w:pPr>
      <w:r>
        <w:rPr>
          <w:b/>
          <w:sz w:val="24"/>
        </w:rPr>
        <w:t>2.4.3.投标货币★</w:t>
      </w:r>
    </w:p>
    <w:p>
      <w:pPr>
        <w:pStyle w:val="null3"/>
        <w:ind w:firstLine="480"/>
        <w:jc w:val="left"/>
      </w:pPr>
      <w:r>
        <w:rPr/>
        <w:t>本项目均以人民币报价。</w:t>
      </w:r>
    </w:p>
    <w:p>
      <w:pPr>
        <w:pStyle w:val="null3"/>
        <w:jc w:val="left"/>
        <w:outlineLvl w:val="3"/>
      </w:pPr>
      <w:r>
        <w:rPr>
          <w:b/>
          <w:sz w:val="24"/>
        </w:rPr>
        <w:t>2.4.4.知识产权★</w:t>
      </w:r>
    </w:p>
    <w:p>
      <w:pPr>
        <w:pStyle w:val="null3"/>
        <w:ind w:firstLine="480"/>
        <w:jc w:val="left"/>
      </w:pPr>
      <w:r>
        <w:rPr/>
        <w:t>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并且赔偿由此给采购人带来的损失。采购人享有本项目实施过程中产生的知识成果及知识产权。</w:t>
      </w:r>
    </w:p>
    <w:p>
      <w:pPr>
        <w:pStyle w:val="null3"/>
        <w:ind w:firstLine="480"/>
        <w:jc w:val="left"/>
      </w:pPr>
      <w:r>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t>三、如使用投标人所不拥有的知识产权，则在投标报价中必须包括合法使用该知识产权的相关费用。</w:t>
      </w:r>
    </w:p>
    <w:p>
      <w:pPr>
        <w:pStyle w:val="null3"/>
        <w:jc w:val="left"/>
        <w:outlineLvl w:val="3"/>
      </w:pPr>
      <w:r>
        <w:rPr>
          <w:b/>
          <w:sz w:val="24"/>
        </w:rPr>
        <w:t>2.4.5.投标报价★</w:t>
      </w:r>
    </w:p>
    <w:p>
      <w:pPr>
        <w:pStyle w:val="null3"/>
        <w:ind w:firstLine="480"/>
        <w:jc w:val="left"/>
      </w:pPr>
      <w:r>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该投标报价作为合同价，在合同履行中原则上不得变更。</w:t>
      </w:r>
    </w:p>
    <w:p>
      <w:pPr>
        <w:pStyle w:val="null3"/>
        <w:ind w:firstLine="480"/>
        <w:jc w:val="left"/>
      </w:pPr>
      <w:r>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签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b/>
          <w:sz w:val="24"/>
        </w:rPr>
        <w:t>2.4.6.投标文件的编制、签章和加密★</w:t>
      </w:r>
    </w:p>
    <w:p>
      <w:pPr>
        <w:pStyle w:val="null3"/>
        <w:ind w:firstLine="480"/>
        <w:jc w:val="left"/>
      </w:pPr>
      <w:r>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t>二、投标人通过四川政府采购网-下载专区下载投标（响应）客户端，使用投标（响应）客户端编制投标文件，完成投标文件编制、加盖电子印章和加密。</w:t>
      </w:r>
    </w:p>
    <w:p>
      <w:pPr>
        <w:pStyle w:val="null3"/>
        <w:jc w:val="left"/>
        <w:outlineLvl w:val="3"/>
      </w:pPr>
      <w:r>
        <w:rPr>
          <w:b/>
          <w:sz w:val="24"/>
        </w:rPr>
        <w:t>2.4.7.投标文件的提交★</w:t>
      </w:r>
    </w:p>
    <w:p>
      <w:pPr>
        <w:pStyle w:val="null3"/>
        <w:ind w:firstLine="480"/>
        <w:jc w:val="left"/>
      </w:pPr>
      <w:r>
        <w:rPr/>
        <w:t>一、投标截止时间前，投标人通过交易系统完成投标文件提交，成功提交投标文件的，将收到成功提交投标文件的回执单。成功提交投标文件的供应商信息在投标截止时间前，将加密保存。</w:t>
      </w:r>
    </w:p>
    <w:p>
      <w:pPr>
        <w:pStyle w:val="null3"/>
        <w:ind w:firstLine="480"/>
        <w:jc w:val="left"/>
      </w:pPr>
      <w:r>
        <w:rPr/>
        <w:t>未按招标文件和采购平台操作规范编制、确认、加密、盖章和提交的投标文件，将被拒绝接收。</w:t>
      </w:r>
    </w:p>
    <w:p>
      <w:pPr>
        <w:pStyle w:val="null3"/>
        <w:ind w:firstLine="480"/>
        <w:jc w:val="left"/>
      </w:pPr>
      <w:r>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t>三、除投标人外，其他任何单位和个人不得解密投标文件或者调整修改已提交投标文件的内容及提交状态。</w:t>
      </w:r>
    </w:p>
    <w:p>
      <w:pPr>
        <w:pStyle w:val="null3"/>
        <w:jc w:val="left"/>
        <w:outlineLvl w:val="3"/>
      </w:pPr>
      <w:r>
        <w:rPr>
          <w:b/>
          <w:sz w:val="24"/>
        </w:rPr>
        <w:t>2.4.8.投标文件的补充、修改、撤回★</w:t>
      </w:r>
    </w:p>
    <w:p>
      <w:pPr>
        <w:pStyle w:val="null3"/>
        <w:ind w:firstLine="480"/>
        <w:jc w:val="left"/>
      </w:pPr>
      <w:r>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t>投标人投标文件撤回后，视为未提交过投标文件。</w:t>
      </w:r>
    </w:p>
    <w:p>
      <w:pPr>
        <w:pStyle w:val="null3"/>
        <w:jc w:val="left"/>
        <w:outlineLvl w:val="2"/>
      </w:pPr>
      <w:r>
        <w:rPr>
          <w:b/>
          <w:sz w:val="28"/>
        </w:rPr>
        <w:t>2.5.开标、资格审查、评标和中标</w:t>
      </w:r>
    </w:p>
    <w:p>
      <w:pPr>
        <w:pStyle w:val="null3"/>
        <w:jc w:val="left"/>
        <w:outlineLvl w:val="3"/>
      </w:pPr>
      <w:r>
        <w:rPr>
          <w:b/>
          <w:sz w:val="24"/>
        </w:rPr>
        <w:t>2.5.1.开标</w:t>
      </w:r>
    </w:p>
    <w:p>
      <w:pPr>
        <w:pStyle w:val="null3"/>
        <w:jc w:val="left"/>
        <w:outlineLvl w:val="3"/>
      </w:pPr>
      <w:r>
        <w:rPr>
          <w:b/>
          <w:sz w:val="24"/>
        </w:rPr>
        <w:t>2.5.1.1.开标程序</w:t>
      </w:r>
    </w:p>
    <w:p>
      <w:pPr>
        <w:pStyle w:val="null3"/>
        <w:ind w:firstLine="480"/>
        <w:jc w:val="left"/>
      </w:pPr>
      <w:r>
        <w:rPr/>
        <w:t>投标截止时间后，通过交易系统“开标/开启大厅”网上开标，在线解密投标文件。</w:t>
      </w:r>
    </w:p>
    <w:p>
      <w:pPr>
        <w:pStyle w:val="null3"/>
        <w:jc w:val="left"/>
        <w:outlineLvl w:val="3"/>
      </w:pPr>
      <w:r>
        <w:rPr>
          <w:b/>
          <w:sz w:val="24"/>
        </w:rPr>
        <w:t>2.5.1.2.解密投标文件★</w:t>
      </w:r>
    </w:p>
    <w:p>
      <w:pPr>
        <w:pStyle w:val="null3"/>
        <w:ind w:firstLine="480"/>
        <w:jc w:val="left"/>
      </w:pPr>
      <w:r>
        <w:rPr/>
        <w:t xml:space="preserve">投标截止时间后，成功提交投标文件的投标人符合招标文件规定数量的，代理机构将启动投标文件解密程序，解密时间为 </w:t>
      </w:r>
      <w:r>
        <w:rPr/>
        <w:t>30</w:t>
      </w:r>
      <w:r>
        <w:rPr/>
        <w:t xml:space="preserve"> 分钟；投标人应在规定的解密时间内，使用加密投标文件的数字证书进行投标文件解密。除因采购平台系统故障导致投标人未按时完成解密外，投标人未在规定的解密时间内完成解密的，按无效投标处理。</w:t>
      </w:r>
    </w:p>
    <w:p>
      <w:pPr>
        <w:pStyle w:val="null3"/>
        <w:jc w:val="left"/>
        <w:outlineLvl w:val="3"/>
      </w:pPr>
      <w:r>
        <w:rPr>
          <w:b/>
          <w:sz w:val="24"/>
        </w:rPr>
        <w:t>2.5.1.3.有关要求</w:t>
      </w:r>
    </w:p>
    <w:p>
      <w:pPr>
        <w:pStyle w:val="null3"/>
        <w:ind w:firstLine="480"/>
        <w:jc w:val="left"/>
      </w:pPr>
      <w:r>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t>开标过程中，投标人对开标过程有疑义，可向代理机构提出询问，代理机构应当及时予以答复。</w:t>
      </w:r>
    </w:p>
    <w:p>
      <w:pPr>
        <w:pStyle w:val="null3"/>
        <w:ind w:firstLine="480"/>
        <w:jc w:val="left"/>
      </w:pPr>
      <w:r>
        <w:rPr/>
        <w:t>投标人完成投标文件解密后，自主决定是否参加在线开标，未参加的，视同认可开标结果。</w:t>
      </w:r>
    </w:p>
    <w:p>
      <w:pPr>
        <w:pStyle w:val="null3"/>
        <w:ind w:firstLine="480"/>
        <w:jc w:val="left"/>
      </w:pPr>
      <w:r>
        <w:rPr/>
        <w:t>成功提交或者成功解密电子投标文件的投标人不足3家的，采购人或者代理机构将作废标处理。</w:t>
      </w:r>
    </w:p>
    <w:p>
      <w:pPr>
        <w:pStyle w:val="null3"/>
        <w:jc w:val="left"/>
        <w:outlineLvl w:val="3"/>
      </w:pPr>
      <w:r>
        <w:rPr>
          <w:b/>
          <w:sz w:val="24"/>
        </w:rPr>
        <w:t>2.5.2.查询及使用信用记录</w:t>
      </w:r>
    </w:p>
    <w:p>
      <w:pPr>
        <w:pStyle w:val="null3"/>
        <w:ind w:firstLine="480"/>
        <w:jc w:val="left"/>
      </w:pPr>
      <w:r>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中的投标人参加本项目的采购活动。</w:t>
      </w:r>
    </w:p>
    <w:p>
      <w:pPr>
        <w:pStyle w:val="null3"/>
        <w:ind w:firstLine="480"/>
        <w:jc w:val="left"/>
      </w:pPr>
      <w:r>
        <w:rPr/>
        <w:t>组成联合体参加政府采购活动的，将对所有联合体成员进行信用记录查询，联合体成员存在不良信用记录的，视同联合体存在不良信用记录。</w:t>
      </w:r>
    </w:p>
    <w:p>
      <w:pPr>
        <w:pStyle w:val="null3"/>
        <w:jc w:val="left"/>
        <w:outlineLvl w:val="3"/>
      </w:pPr>
      <w:r>
        <w:rPr>
          <w:b/>
          <w:sz w:val="24"/>
        </w:rPr>
        <w:t>2.5.3.资格审查</w:t>
      </w:r>
    </w:p>
    <w:p>
      <w:pPr>
        <w:pStyle w:val="null3"/>
        <w:ind w:firstLine="480"/>
        <w:jc w:val="left"/>
      </w:pPr>
      <w:r>
        <w:rPr/>
        <w:t>详见招标文件第四章。</w:t>
      </w:r>
    </w:p>
    <w:p>
      <w:pPr>
        <w:pStyle w:val="null3"/>
        <w:jc w:val="left"/>
        <w:outlineLvl w:val="3"/>
      </w:pPr>
      <w:r>
        <w:rPr>
          <w:b/>
          <w:sz w:val="24"/>
        </w:rPr>
        <w:t>2.5.4.评标</w:t>
      </w:r>
    </w:p>
    <w:p>
      <w:pPr>
        <w:pStyle w:val="null3"/>
        <w:ind w:firstLine="480"/>
        <w:jc w:val="left"/>
      </w:pPr>
      <w:r>
        <w:rPr/>
        <w:t>详见招标文件第五章。</w:t>
      </w:r>
    </w:p>
    <w:p>
      <w:pPr>
        <w:pStyle w:val="null3"/>
        <w:jc w:val="left"/>
        <w:outlineLvl w:val="3"/>
      </w:pPr>
      <w:r>
        <w:rPr>
          <w:b/>
          <w:sz w:val="24"/>
        </w:rPr>
        <w:t>2.5.5.中标通知书</w:t>
      </w:r>
    </w:p>
    <w:p>
      <w:pPr>
        <w:pStyle w:val="null3"/>
        <w:ind w:firstLine="480"/>
        <w:jc w:val="left"/>
      </w:pPr>
      <w:r>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b/>
          <w:sz w:val="28"/>
        </w:rPr>
        <w:t>2.6.合同签订、备案、履行及验收</w:t>
      </w:r>
    </w:p>
    <w:p>
      <w:pPr>
        <w:pStyle w:val="null3"/>
        <w:jc w:val="left"/>
        <w:outlineLvl w:val="3"/>
      </w:pPr>
      <w:r>
        <w:rPr>
          <w:b/>
          <w:sz w:val="24"/>
        </w:rPr>
        <w:t>2.6.1.签订合同</w:t>
      </w:r>
    </w:p>
    <w:p>
      <w:pPr>
        <w:pStyle w:val="null3"/>
        <w:ind w:firstLine="480"/>
        <w:jc w:val="left"/>
      </w:pPr>
      <w:r>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t>三、中标人完全遵守《中华人民共和国劳动合同法》有关规定和《中华人民共和国妇女权益保障法》中关于“劳动和社会保障权益”的有关要求。</w:t>
      </w:r>
    </w:p>
    <w:p>
      <w:pPr>
        <w:pStyle w:val="null3"/>
        <w:jc w:val="left"/>
        <w:outlineLvl w:val="3"/>
      </w:pPr>
      <w:r>
        <w:rPr>
          <w:b/>
          <w:sz w:val="24"/>
        </w:rPr>
        <w:t>2.6.2.政府采购合同公告、备案</w:t>
      </w:r>
    </w:p>
    <w:p>
      <w:pPr>
        <w:pStyle w:val="null3"/>
        <w:ind w:firstLine="480"/>
        <w:jc w:val="left"/>
      </w:pPr>
      <w:r>
        <w:rPr/>
        <w:t>政府采购合同签订之日起2个工作日内，采购人将政府采购合同在四川政府采购网予以公告；政府采购合同签订之日起7个工作日内，采购人将政府采购合同报本级财政部门备案。</w:t>
      </w:r>
    </w:p>
    <w:p>
      <w:pPr>
        <w:pStyle w:val="null3"/>
        <w:ind w:firstLine="480"/>
        <w:jc w:val="left"/>
      </w:pPr>
      <w:r>
        <w:rPr/>
        <w:t>政府采购合同的双方当事人不得擅自变更合同，依照政府采购法确需变更政府采购合同内容的，采购人应当自合同变更之日起2个工作日内在省级以上财政部门指定的媒体上发布政府采购合同变更公告，但涉及国家秘密、商业秘密的信息和其他依法不得公开的信息除外。</w:t>
      </w:r>
    </w:p>
    <w:p>
      <w:pPr>
        <w:pStyle w:val="null3"/>
        <w:jc w:val="left"/>
        <w:outlineLvl w:val="3"/>
      </w:pPr>
      <w:r>
        <w:rPr>
          <w:b/>
          <w:sz w:val="24"/>
        </w:rPr>
        <w:t>2.6.3.合同分包和转包★</w:t>
      </w:r>
    </w:p>
    <w:p>
      <w:pPr>
        <w:pStyle w:val="null3"/>
        <w:jc w:val="left"/>
        <w:outlineLvl w:val="3"/>
      </w:pPr>
      <w:r>
        <w:rPr>
          <w:b/>
          <w:sz w:val="24"/>
        </w:rPr>
        <w:t>2.6.3.1.合同分包</w:t>
      </w:r>
    </w:p>
    <w:p>
      <w:pPr>
        <w:pStyle w:val="null3"/>
        <w:jc w:val="left"/>
      </w:pPr>
      <w:r>
        <w:rPr/>
        <w:t>本项目不允许合同分包。</w:t>
      </w:r>
    </w:p>
    <w:p>
      <w:pPr>
        <w:pStyle w:val="null3"/>
        <w:jc w:val="left"/>
        <w:outlineLvl w:val="3"/>
      </w:pPr>
      <w:r>
        <w:rPr>
          <w:b/>
          <w:sz w:val="24"/>
        </w:rPr>
        <w:t>2.6.3.2.合同转包</w:t>
      </w:r>
    </w:p>
    <w:p>
      <w:pPr>
        <w:pStyle w:val="null3"/>
        <w:ind w:firstLine="480"/>
        <w:jc w:val="left"/>
      </w:pPr>
      <w:r>
        <w:rPr/>
        <w:t>一、严禁中标人将本项目合同转包。</w:t>
      </w:r>
    </w:p>
    <w:p>
      <w:pPr>
        <w:pStyle w:val="null3"/>
        <w:ind w:firstLine="480"/>
        <w:jc w:val="left"/>
      </w:pPr>
      <w:r>
        <w:rPr/>
        <w:t>二、中标人将合同转包的，将依法追究法律责任。</w:t>
      </w:r>
    </w:p>
    <w:p>
      <w:pPr>
        <w:pStyle w:val="null3"/>
        <w:jc w:val="left"/>
        <w:outlineLvl w:val="3"/>
      </w:pPr>
      <w:r>
        <w:rPr>
          <w:b/>
          <w:sz w:val="24"/>
        </w:rPr>
        <w:t>2.6.4.采购人增加合同标的的权利</w:t>
      </w:r>
    </w:p>
    <w:p>
      <w:pPr>
        <w:pStyle w:val="null3"/>
        <w:ind w:firstLine="480"/>
        <w:jc w:val="left"/>
      </w:pPr>
      <w:r>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b/>
          <w:sz w:val="24"/>
        </w:rPr>
        <w:t>2.6.5.履行合同</w:t>
      </w:r>
    </w:p>
    <w:p>
      <w:pPr>
        <w:pStyle w:val="null3"/>
        <w:ind w:firstLine="480"/>
        <w:jc w:val="left"/>
      </w:pPr>
      <w:r>
        <w:rPr/>
        <w:t>一、采购人与中标人应当根据合同的约定依法履行合同义务。</w:t>
      </w:r>
    </w:p>
    <w:p>
      <w:pPr>
        <w:pStyle w:val="null3"/>
        <w:ind w:firstLine="480"/>
        <w:jc w:val="left"/>
      </w:pPr>
      <w:r>
        <w:rPr/>
        <w:t>二、政府采购合同的履行、违约责任和解决争议的方法等适用《中华人民共和国民法典》。</w:t>
      </w:r>
    </w:p>
    <w:p>
      <w:pPr>
        <w:pStyle w:val="null3"/>
        <w:jc w:val="left"/>
        <w:outlineLvl w:val="3"/>
      </w:pPr>
      <w:r>
        <w:rPr>
          <w:b/>
          <w:sz w:val="24"/>
        </w:rPr>
        <w:t>2.6.6.履约验收方案</w:t>
      </w:r>
    </w:p>
    <w:p>
      <w:pPr>
        <w:pStyle w:val="null3"/>
        <w:ind w:firstLine="480"/>
        <w:jc w:val="left"/>
      </w:pPr>
      <w:r>
        <w:rPr/>
        <w:t>一、验收组织方式：</w:t>
      </w:r>
    </w:p>
    <w:p>
      <w:pPr>
        <w:pStyle w:val="null3"/>
        <w:ind w:firstLine="480"/>
        <w:jc w:val="left"/>
      </w:pPr>
      <w:r>
        <w:rPr/>
        <w:t>采购包1：</w:t>
      </w:r>
      <w:r>
        <w:rPr/>
        <w:t>自行验收</w:t>
      </w:r>
    </w:p>
    <w:p>
      <w:pPr>
        <w:pStyle w:val="null3"/>
        <w:ind w:firstLine="480"/>
        <w:jc w:val="left"/>
      </w:pPr>
      <w:r>
        <w:rPr/>
        <w:t>二、是否邀请本项目的其他供应商：</w:t>
      </w:r>
    </w:p>
    <w:p>
      <w:pPr>
        <w:pStyle w:val="null3"/>
        <w:ind w:firstLine="480"/>
        <w:jc w:val="left"/>
      </w:pPr>
      <w:r>
        <w:rPr/>
        <w:t>采购包1：</w:t>
      </w:r>
      <w:r>
        <w:rPr/>
        <w:t>否</w:t>
      </w:r>
    </w:p>
    <w:p>
      <w:pPr>
        <w:pStyle w:val="null3"/>
        <w:ind w:firstLine="480"/>
        <w:jc w:val="left"/>
      </w:pPr>
      <w:r>
        <w:rPr/>
        <w:t>三、是否邀请专家：</w:t>
      </w:r>
    </w:p>
    <w:p>
      <w:pPr>
        <w:pStyle w:val="null3"/>
        <w:ind w:firstLine="480"/>
        <w:jc w:val="left"/>
      </w:pPr>
      <w:r>
        <w:rPr/>
        <w:t>采购包1：</w:t>
      </w:r>
      <w:r>
        <w:rPr/>
        <w:t>否</w:t>
      </w:r>
    </w:p>
    <w:p>
      <w:pPr>
        <w:pStyle w:val="null3"/>
        <w:ind w:firstLine="480"/>
        <w:jc w:val="left"/>
      </w:pPr>
      <w:r>
        <w:rPr/>
        <w:t>四、是否邀请服务对象：</w:t>
      </w:r>
    </w:p>
    <w:p>
      <w:pPr>
        <w:pStyle w:val="null3"/>
        <w:ind w:firstLine="480"/>
        <w:jc w:val="left"/>
      </w:pPr>
      <w:r>
        <w:rPr/>
        <w:t>采购包1：</w:t>
      </w:r>
      <w:r>
        <w:rPr/>
        <w:t>否</w:t>
      </w:r>
    </w:p>
    <w:p>
      <w:pPr>
        <w:pStyle w:val="null3"/>
        <w:ind w:firstLine="480"/>
        <w:jc w:val="left"/>
      </w:pPr>
      <w:r>
        <w:rPr/>
        <w:t>五、是否邀请第三方检测机构：</w:t>
      </w:r>
    </w:p>
    <w:p>
      <w:pPr>
        <w:pStyle w:val="null3"/>
        <w:ind w:firstLine="480"/>
        <w:jc w:val="left"/>
      </w:pPr>
      <w:r>
        <w:rPr/>
        <w:t>采购包1：</w:t>
      </w:r>
      <w:r>
        <w:rPr/>
        <w:t>否</w:t>
      </w:r>
    </w:p>
    <w:p>
      <w:pPr>
        <w:pStyle w:val="null3"/>
        <w:ind w:firstLine="480"/>
        <w:jc w:val="left"/>
      </w:pPr>
      <w:r>
        <w:rPr/>
        <w:t>六、履约验收程序：</w:t>
      </w:r>
    </w:p>
    <w:p>
      <w:pPr>
        <w:pStyle w:val="null3"/>
        <w:ind w:firstLine="480"/>
        <w:jc w:val="left"/>
      </w:pPr>
      <w:r>
        <w:rPr/>
        <w:t>采购包1：</w:t>
      </w:r>
      <w:r>
        <w:rPr/>
        <w:t>一次性验收</w:t>
      </w:r>
    </w:p>
    <w:p>
      <w:pPr>
        <w:pStyle w:val="null3"/>
        <w:ind w:firstLine="480"/>
        <w:jc w:val="left"/>
      </w:pPr>
      <w:r>
        <w:rPr/>
        <w:t>七、履约验收时间：</w:t>
      </w:r>
    </w:p>
    <w:p>
      <w:pPr>
        <w:pStyle w:val="null3"/>
        <w:ind w:firstLine="480"/>
        <w:jc w:val="left"/>
      </w:pPr>
      <w:r>
        <w:rPr/>
        <w:t>采购包1：</w:t>
      </w:r>
    </w:p>
    <w:p>
      <w:pPr>
        <w:pStyle w:val="null3"/>
        <w:ind w:firstLine="1200"/>
        <w:jc w:val="left"/>
      </w:pPr>
      <w:r>
        <w:rPr/>
        <w:t>1、</w:t>
      </w:r>
      <w:r>
        <w:rPr/>
        <w:t xml:space="preserve"> 验收条件说明： </w:t>
      </w:r>
      <w:r>
        <w:rPr/>
        <w:t>供应商提出验收申请之日起</w:t>
      </w:r>
      <w:r>
        <w:rPr/>
        <w:t xml:space="preserve"> ，达到验收条件起 </w:t>
      </w:r>
      <w:r>
        <w:rPr/>
        <w:t>30</w:t>
      </w:r>
      <w:r>
        <w:rPr/>
        <w:t xml:space="preserve"> 日内，验收合同总金额的 </w:t>
      </w:r>
      <w:r>
        <w:rPr/>
        <w:t>100</w:t>
      </w:r>
      <w:r>
        <w:rPr/>
        <w:t>%；</w:t>
      </w:r>
    </w:p>
    <w:p>
      <w:pPr>
        <w:pStyle w:val="null3"/>
        <w:ind w:firstLine="480"/>
        <w:jc w:val="left"/>
      </w:pPr>
      <w:r>
        <w:rPr/>
        <w:t>八、验收组织的其他事项：</w:t>
      </w:r>
    </w:p>
    <w:p>
      <w:pPr>
        <w:pStyle w:val="null3"/>
        <w:ind w:firstLine="480"/>
        <w:jc w:val="left"/>
      </w:pPr>
      <w:r>
        <w:rPr/>
        <w:t>采购包1：</w:t>
      </w:r>
      <w:r>
        <w:rPr/>
        <w:t>无</w:t>
      </w:r>
    </w:p>
    <w:p>
      <w:pPr>
        <w:pStyle w:val="null3"/>
        <w:ind w:firstLine="480"/>
        <w:jc w:val="left"/>
      </w:pPr>
      <w:r>
        <w:rPr/>
        <w:t>九、技术履约验收内容：</w:t>
      </w:r>
    </w:p>
    <w:p>
      <w:pPr>
        <w:pStyle w:val="null3"/>
        <w:ind w:firstLine="480"/>
        <w:jc w:val="left"/>
      </w:pPr>
      <w:r>
        <w:rPr/>
        <w:t>采购包1：</w:t>
      </w:r>
      <w:r>
        <w:rPr/>
        <w:t>每一项技术要求</w:t>
      </w:r>
    </w:p>
    <w:p>
      <w:pPr>
        <w:pStyle w:val="null3"/>
        <w:ind w:firstLine="480"/>
        <w:jc w:val="left"/>
      </w:pPr>
      <w:r>
        <w:rPr/>
        <w:t>十、商务履约验收内容：</w:t>
      </w:r>
    </w:p>
    <w:p>
      <w:pPr>
        <w:pStyle w:val="null3"/>
        <w:ind w:firstLine="480"/>
        <w:jc w:val="left"/>
      </w:pPr>
      <w:r>
        <w:rPr/>
        <w:t>采购包1：</w:t>
      </w:r>
      <w:r>
        <w:rPr/>
        <w:t>每一项商务要求</w:t>
      </w:r>
    </w:p>
    <w:p>
      <w:pPr>
        <w:pStyle w:val="null3"/>
        <w:ind w:firstLine="480"/>
        <w:jc w:val="left"/>
      </w:pPr>
      <w:r>
        <w:rPr/>
        <w:t>十一、履约验收标准：</w:t>
      </w:r>
    </w:p>
    <w:p>
      <w:pPr>
        <w:pStyle w:val="null3"/>
        <w:ind w:firstLine="480"/>
        <w:jc w:val="left"/>
      </w:pPr>
      <w:r>
        <w:rPr/>
        <w:t>采购包1：</w:t>
      </w:r>
      <w:r>
        <w:rPr/>
        <w:t>按照《财政部关于进一步加强政府采购需求和履约验收管理的指 导意见》（财库〔2016〕205 号） 《关于印发〈政府采购需求管理办法〉的通知》（财库（2021）22 号）要求并结合招标文件和投标文件响应情况进行验收。</w:t>
      </w:r>
    </w:p>
    <w:p>
      <w:pPr>
        <w:pStyle w:val="null3"/>
        <w:ind w:firstLine="480"/>
        <w:jc w:val="left"/>
      </w:pPr>
      <w:r>
        <w:rPr/>
        <w:t>十二、履约验收其他事项：</w:t>
      </w:r>
    </w:p>
    <w:p>
      <w:pPr>
        <w:pStyle w:val="null3"/>
        <w:ind w:firstLine="480"/>
        <w:jc w:val="left"/>
      </w:pPr>
      <w:r>
        <w:rPr/>
        <w:t>采购包1：</w:t>
      </w:r>
      <w:r>
        <w:rPr/>
        <w:t>无</w:t>
      </w:r>
    </w:p>
    <w:p>
      <w:pPr>
        <w:pStyle w:val="null3"/>
        <w:jc w:val="left"/>
        <w:outlineLvl w:val="3"/>
      </w:pPr>
      <w:r>
        <w:rPr>
          <w:b/>
          <w:sz w:val="24"/>
        </w:rPr>
        <w:t>2.6.7.资金支付</w:t>
      </w:r>
    </w:p>
    <w:p>
      <w:pPr>
        <w:pStyle w:val="null3"/>
        <w:ind w:firstLine="480"/>
        <w:jc w:val="left"/>
      </w:pPr>
      <w:r>
        <w:rPr/>
        <w:t>采购人将按照政府采购合同规定，及时向中标人支付采购资金。具体支付约定详见第三章。</w:t>
      </w:r>
    </w:p>
    <w:p>
      <w:pPr>
        <w:pStyle w:val="null3"/>
        <w:jc w:val="left"/>
        <w:outlineLvl w:val="2"/>
      </w:pPr>
      <w:r>
        <w:rPr>
          <w:b/>
          <w:sz w:val="28"/>
        </w:rPr>
        <w:t>2.7.纪律要求</w:t>
      </w:r>
    </w:p>
    <w:p>
      <w:pPr>
        <w:pStyle w:val="null3"/>
        <w:jc w:val="left"/>
        <w:outlineLvl w:val="3"/>
      </w:pPr>
      <w:r>
        <w:rPr>
          <w:b/>
          <w:sz w:val="24"/>
        </w:rPr>
        <w:t>2.7.1.保密要求</w:t>
      </w:r>
    </w:p>
    <w:p>
      <w:pPr>
        <w:pStyle w:val="null3"/>
        <w:ind w:firstLine="480"/>
        <w:jc w:val="left"/>
      </w:pPr>
      <w:r>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t>有关人员对评标情况以及在评标过程中获悉的国家秘密、商业秘密负有保密责任。</w:t>
      </w:r>
    </w:p>
    <w:p>
      <w:pPr>
        <w:pStyle w:val="null3"/>
        <w:jc w:val="left"/>
        <w:outlineLvl w:val="3"/>
      </w:pPr>
      <w:r>
        <w:rPr>
          <w:b/>
          <w:sz w:val="24"/>
        </w:rPr>
        <w:t>2.7.2.投标人不得具有的情形</w:t>
      </w:r>
    </w:p>
    <w:p>
      <w:pPr>
        <w:pStyle w:val="null3"/>
        <w:ind w:firstLine="480"/>
        <w:jc w:val="left"/>
      </w:pPr>
      <w:r>
        <w:rPr/>
        <w:t>投标人参加投标不得有下列情形：</w:t>
      </w:r>
    </w:p>
    <w:p>
      <w:pPr>
        <w:pStyle w:val="null3"/>
        <w:ind w:firstLine="480"/>
        <w:jc w:val="left"/>
      </w:pPr>
      <w:r>
        <w:rPr/>
        <w:t>一、有下列情形之一的，视为投标人串通投标：</w:t>
      </w:r>
    </w:p>
    <w:p>
      <w:pPr>
        <w:pStyle w:val="null3"/>
        <w:ind w:firstLine="480"/>
        <w:jc w:val="left"/>
      </w:pPr>
      <w:r>
        <w:rPr/>
        <w:t>（一）不同投标人的投标文件由同一单位或者个人编制；</w:t>
      </w:r>
    </w:p>
    <w:p>
      <w:pPr>
        <w:pStyle w:val="null3"/>
        <w:ind w:firstLine="480"/>
        <w:jc w:val="left"/>
      </w:pPr>
      <w:r>
        <w:rPr/>
        <w:t>（二）不同投标人委托同一单位或者个人办理投标事宜；</w:t>
      </w:r>
    </w:p>
    <w:p>
      <w:pPr>
        <w:pStyle w:val="null3"/>
        <w:ind w:firstLine="480"/>
        <w:jc w:val="left"/>
      </w:pPr>
      <w:r>
        <w:rPr/>
        <w:t>（三）不同投标人的投标文件载明的项目管理成员或者联系人员为同一人；</w:t>
      </w:r>
    </w:p>
    <w:p>
      <w:pPr>
        <w:pStyle w:val="null3"/>
        <w:ind w:firstLine="480"/>
        <w:jc w:val="left"/>
      </w:pPr>
      <w:r>
        <w:rPr/>
        <w:t>（四）不同投标人的投标文件异常一致或者投标报价呈规律性差异；</w:t>
      </w:r>
    </w:p>
    <w:p>
      <w:pPr>
        <w:pStyle w:val="null3"/>
        <w:ind w:firstLine="480"/>
        <w:jc w:val="left"/>
      </w:pPr>
      <w:r>
        <w:rPr/>
        <w:t>（五）不同投标人的投标文件相互混装；</w:t>
      </w:r>
    </w:p>
    <w:p>
      <w:pPr>
        <w:pStyle w:val="null3"/>
        <w:ind w:firstLine="480"/>
        <w:jc w:val="left"/>
      </w:pPr>
      <w:r>
        <w:rPr/>
        <w:t>（六）不同投标人的投标保证金从同一单位和账户转出。</w:t>
      </w:r>
    </w:p>
    <w:p>
      <w:pPr>
        <w:pStyle w:val="null3"/>
        <w:ind w:firstLine="480"/>
        <w:jc w:val="left"/>
      </w:pPr>
      <w:r>
        <w:rPr/>
        <w:t>二、提供虚假材料谋取中标；</w:t>
      </w:r>
    </w:p>
    <w:p>
      <w:pPr>
        <w:pStyle w:val="null3"/>
        <w:ind w:firstLine="480"/>
        <w:jc w:val="left"/>
      </w:pPr>
      <w:r>
        <w:rPr/>
        <w:t>三、采取不正当手段诋毁、排挤其他投标人；</w:t>
      </w:r>
    </w:p>
    <w:p>
      <w:pPr>
        <w:pStyle w:val="null3"/>
        <w:ind w:firstLine="480"/>
        <w:jc w:val="left"/>
      </w:pPr>
      <w:r>
        <w:rPr/>
        <w:t>四、与采购人或者代理机构、其他投标人恶意串通；</w:t>
      </w:r>
    </w:p>
    <w:p>
      <w:pPr>
        <w:pStyle w:val="null3"/>
        <w:ind w:firstLine="480"/>
        <w:jc w:val="left"/>
      </w:pPr>
      <w:r>
        <w:rPr/>
        <w:t>五、向采购人或者代理机构、评标委员会成员行贿或者提供其他不正当利益；</w:t>
      </w:r>
    </w:p>
    <w:p>
      <w:pPr>
        <w:pStyle w:val="null3"/>
        <w:ind w:firstLine="480"/>
        <w:jc w:val="left"/>
      </w:pPr>
      <w:r>
        <w:rPr/>
        <w:t>六、在招标过程中与采购人或者代理机构进行协商谈判；</w:t>
      </w:r>
    </w:p>
    <w:p>
      <w:pPr>
        <w:pStyle w:val="null3"/>
        <w:ind w:firstLine="480"/>
        <w:jc w:val="left"/>
      </w:pPr>
      <w:r>
        <w:rPr/>
        <w:t>七、中标后无正当理由拒不与采购人签订政府采购合同；</w:t>
      </w:r>
    </w:p>
    <w:p>
      <w:pPr>
        <w:pStyle w:val="null3"/>
        <w:ind w:firstLine="480"/>
        <w:jc w:val="left"/>
      </w:pPr>
      <w:r>
        <w:rPr/>
        <w:t>八、未按照招标文件确定的事项签订政府采购合同；</w:t>
      </w:r>
    </w:p>
    <w:p>
      <w:pPr>
        <w:pStyle w:val="null3"/>
        <w:ind w:firstLine="480"/>
        <w:jc w:val="left"/>
      </w:pPr>
      <w:r>
        <w:rPr/>
        <w:t>九、将政府采购合同转包或者违规分包；</w:t>
      </w:r>
    </w:p>
    <w:p>
      <w:pPr>
        <w:pStyle w:val="null3"/>
        <w:ind w:firstLine="480"/>
        <w:jc w:val="left"/>
      </w:pPr>
      <w:r>
        <w:rPr/>
        <w:t>十、提供假冒伪劣产品；</w:t>
      </w:r>
    </w:p>
    <w:p>
      <w:pPr>
        <w:pStyle w:val="null3"/>
        <w:ind w:firstLine="480"/>
        <w:jc w:val="left"/>
      </w:pPr>
      <w:r>
        <w:rPr/>
        <w:t>十一、擅自变更、中止或者终止政府采购合同；</w:t>
      </w:r>
    </w:p>
    <w:p>
      <w:pPr>
        <w:pStyle w:val="null3"/>
        <w:ind w:firstLine="480"/>
        <w:jc w:val="left"/>
      </w:pPr>
      <w:r>
        <w:rPr/>
        <w:t>十二、拒绝有关部门的监督检查或者向监督检查部门提供虚假情况；</w:t>
      </w:r>
    </w:p>
    <w:p>
      <w:pPr>
        <w:pStyle w:val="null3"/>
        <w:ind w:firstLine="480"/>
        <w:jc w:val="left"/>
      </w:pPr>
      <w:r>
        <w:rPr/>
        <w:t>十三、法律法规规定的其他禁止情形。</w:t>
      </w:r>
    </w:p>
    <w:p>
      <w:pPr>
        <w:pStyle w:val="null3"/>
        <w:ind w:firstLine="480"/>
        <w:jc w:val="left"/>
      </w:pPr>
      <w:r>
        <w:rPr/>
        <w:t>投标人有前述第一至六条情形的，认定其投标无效；中标人有前述第二至六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b/>
          <w:sz w:val="24"/>
        </w:rPr>
        <w:t>2.7.3.采购人员及相关人员回避要求</w:t>
      </w:r>
    </w:p>
    <w:p>
      <w:pPr>
        <w:pStyle w:val="null3"/>
        <w:ind w:firstLine="480"/>
        <w:jc w:val="left"/>
      </w:pPr>
      <w:r>
        <w:rPr/>
        <w:t>政府采购活动中，采购人员及相关人员与投标人有下列利害关系之一的，应当回避：</w:t>
      </w:r>
    </w:p>
    <w:p>
      <w:pPr>
        <w:pStyle w:val="null3"/>
        <w:ind w:firstLine="480"/>
        <w:jc w:val="left"/>
      </w:pPr>
      <w:r>
        <w:rPr/>
        <w:t>一、参加采购活动前3年内与投标人存在劳动关系；</w:t>
      </w:r>
    </w:p>
    <w:p>
      <w:pPr>
        <w:pStyle w:val="null3"/>
        <w:ind w:firstLine="480"/>
        <w:jc w:val="left"/>
      </w:pPr>
      <w:r>
        <w:rPr/>
        <w:t>二、参加采购活动前3年内担任投标人的董事、监事；</w:t>
      </w:r>
    </w:p>
    <w:p>
      <w:pPr>
        <w:pStyle w:val="null3"/>
        <w:ind w:firstLine="480"/>
        <w:jc w:val="left"/>
      </w:pPr>
      <w:r>
        <w:rPr/>
        <w:t>三、参加采购活动前3年内是投标人的控股股东或者实际控制人；</w:t>
      </w:r>
    </w:p>
    <w:p>
      <w:pPr>
        <w:pStyle w:val="null3"/>
        <w:ind w:firstLine="480"/>
        <w:jc w:val="left"/>
      </w:pPr>
      <w:r>
        <w:rPr/>
        <w:t>四、与投标人的法定代表人或者负责人有夫妻、直系血亲、三代以内旁系血亲或者近姻亲关系；</w:t>
      </w:r>
    </w:p>
    <w:p>
      <w:pPr>
        <w:pStyle w:val="null3"/>
        <w:ind w:firstLine="480"/>
        <w:jc w:val="left"/>
      </w:pPr>
      <w:r>
        <w:rPr/>
        <w:t>五、与投标人有其他可能影响政府采购活动公平、公正进行的关系。</w:t>
      </w:r>
    </w:p>
    <w:p>
      <w:pPr>
        <w:pStyle w:val="null3"/>
        <w:ind w:firstLine="480"/>
        <w:jc w:val="left"/>
      </w:pPr>
      <w:r>
        <w:rPr/>
        <w:t>投标人认为采购人员及相关人员与其他投标人有利害关系的，可以向代理机构书面提出回避申请，并说明理由。代理机构将及时询问被申请回避人员，有利害关系的被申请回避人员应当回避。</w:t>
      </w:r>
    </w:p>
    <w:p>
      <w:pPr>
        <w:pStyle w:val="null3"/>
        <w:jc w:val="left"/>
        <w:outlineLvl w:val="2"/>
      </w:pPr>
      <w:r>
        <w:rPr>
          <w:b/>
          <w:sz w:val="28"/>
        </w:rPr>
        <w:t>2.8.询问、质疑和投诉</w:t>
      </w:r>
    </w:p>
    <w:p>
      <w:pPr>
        <w:pStyle w:val="null3"/>
        <w:ind w:firstLine="480"/>
        <w:jc w:val="left"/>
      </w:pPr>
      <w:r>
        <w:rPr/>
        <w:t>一、询问、质疑、投诉的接收和处理严格按照《中华人民共和国政府采购法》《中华人民共和国政府采购法实施条例》《政府采购质疑和投诉办法》等规定办理。</w:t>
      </w:r>
    </w:p>
    <w:p>
      <w:pPr>
        <w:pStyle w:val="null3"/>
        <w:ind w:firstLine="480"/>
        <w:jc w:val="left"/>
      </w:pPr>
      <w:r>
        <w:rPr/>
        <w:t>二、投标人询问、质疑的答复主体：</w:t>
      </w:r>
    </w:p>
    <w:p>
      <w:pPr>
        <w:pStyle w:val="null3"/>
        <w:ind w:firstLine="480"/>
        <w:jc w:val="left"/>
      </w:pPr>
      <w:r>
        <w:rPr/>
        <w:t xml:space="preserve">根据委托代理协议约定，投标人对招标文件中采购需求的询问、质疑由 </w:t>
      </w:r>
      <w:r>
        <w:rPr/>
        <w:t>成都市人民政府国防动员办公室</w:t>
      </w:r>
      <w:r>
        <w:rPr/>
        <w:t xml:space="preserve"> 负责答复；投标人对除采购需求外的招标文件的询问、质疑由 </w:t>
      </w:r>
      <w:r>
        <w:rPr/>
        <w:t>四川蜀理项目管理咨询有限公司</w:t>
      </w:r>
      <w:r>
        <w:rPr/>
        <w:t xml:space="preserve"> 负责答复；投标人对采购过程、采购结果的询问、质疑由 </w:t>
      </w:r>
      <w:r>
        <w:rPr/>
        <w:t>四川蜀理项目管理咨询有限公司</w:t>
      </w:r>
      <w:r>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t>答复主体：采购人</w:t>
      </w:r>
    </w:p>
    <w:p>
      <w:pPr>
        <w:pStyle w:val="null3"/>
        <w:jc w:val="left"/>
      </w:pPr>
      <w:r>
        <w:rPr/>
        <w:t>联系人：何老师</w:t>
      </w:r>
    </w:p>
    <w:p>
      <w:pPr>
        <w:pStyle w:val="null3"/>
        <w:jc w:val="left"/>
      </w:pPr>
      <w:r>
        <w:rPr/>
        <w:t>联系电话：028-87372682</w:t>
      </w:r>
    </w:p>
    <w:p>
      <w:pPr>
        <w:pStyle w:val="null3"/>
        <w:jc w:val="left"/>
      </w:pPr>
      <w:r>
        <w:rPr/>
        <w:t>地址：成都市青羊光华东三路486号中铁西城写字楼5栋12楼1201号</w:t>
      </w:r>
    </w:p>
    <w:p>
      <w:pPr>
        <w:pStyle w:val="null3"/>
        <w:jc w:val="left"/>
      </w:pPr>
      <w:r>
        <w:rPr/>
        <w:t>邮编：610000</w:t>
      </w:r>
    </w:p>
    <w:p>
      <w:pPr>
        <w:pStyle w:val="null3"/>
        <w:ind w:firstLine="480"/>
        <w:jc w:val="left"/>
      </w:pPr>
      <w:r>
        <w:rPr/>
        <w:t>三、投标人提出的询问，应当明确询问事项，如以书面形式提出的，应由投标人签字并加盖公章。</w:t>
      </w:r>
    </w:p>
    <w:p>
      <w:pPr>
        <w:pStyle w:val="null3"/>
        <w:ind w:firstLine="480"/>
        <w:jc w:val="left"/>
      </w:pPr>
      <w:r>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t>（一）对可以质疑的招标文件提出质疑的，为收到招标文件之日或者招标文件公告期限届满之日；</w:t>
      </w:r>
    </w:p>
    <w:p>
      <w:pPr>
        <w:pStyle w:val="null3"/>
        <w:ind w:firstLine="480"/>
        <w:jc w:val="left"/>
      </w:pPr>
      <w:r>
        <w:rPr/>
        <w:t>（二）对采购过程提出质疑的，为各采购程序环节结束之日；</w:t>
      </w:r>
    </w:p>
    <w:p>
      <w:pPr>
        <w:pStyle w:val="null3"/>
        <w:ind w:firstLine="480"/>
        <w:jc w:val="left"/>
      </w:pPr>
      <w:r>
        <w:rPr/>
        <w:t>（三）对中标或者成交结果提出质疑的，为中标或者成交结果公告期限届满之日。</w:t>
      </w:r>
    </w:p>
    <w:p>
      <w:pPr>
        <w:pStyle w:val="null3"/>
        <w:ind w:firstLine="480"/>
        <w:jc w:val="left"/>
      </w:pPr>
      <w:r>
        <w:rPr/>
        <w:t>五、投标人通过书面形式线下向采购人或者代理机构提交质疑资料。</w:t>
      </w:r>
    </w:p>
    <w:p>
      <w:pPr>
        <w:pStyle w:val="null3"/>
        <w:ind w:firstLine="480"/>
        <w:jc w:val="left"/>
      </w:pPr>
      <w:r>
        <w:rPr/>
        <w:t>六、投标人提出质疑时应当准备的资料</w:t>
      </w:r>
    </w:p>
    <w:p>
      <w:pPr>
        <w:pStyle w:val="null3"/>
        <w:ind w:firstLine="480"/>
        <w:jc w:val="left"/>
      </w:pPr>
      <w:r>
        <w:rPr/>
        <w:t>（一）质疑函正本1份；（政府采购投标人质疑函范本可在四川政府采购网下载专区下载）</w:t>
      </w:r>
    </w:p>
    <w:p>
      <w:pPr>
        <w:pStyle w:val="null3"/>
        <w:ind w:firstLine="480"/>
        <w:jc w:val="left"/>
      </w:pPr>
      <w:r>
        <w:rPr/>
        <w:t>（二）法定代表人或主要负责人授权委托书1份（委托代理人办理质疑事宜的需提供）；</w:t>
      </w:r>
    </w:p>
    <w:p>
      <w:pPr>
        <w:pStyle w:val="null3"/>
        <w:ind w:firstLine="480"/>
        <w:jc w:val="left"/>
      </w:pPr>
      <w:r>
        <w:rPr/>
        <w:t>（三）法定代表人或主要负责人身份证复印件1份；</w:t>
      </w:r>
    </w:p>
    <w:p>
      <w:pPr>
        <w:pStyle w:val="null3"/>
        <w:ind w:firstLine="480"/>
        <w:jc w:val="left"/>
      </w:pPr>
      <w:r>
        <w:rPr/>
        <w:t>（四）委托代理人身份证复印件1份（委托代理人办理质疑事宜的需提供）；</w:t>
      </w:r>
    </w:p>
    <w:p>
      <w:pPr>
        <w:pStyle w:val="null3"/>
        <w:ind w:firstLine="480"/>
        <w:jc w:val="left"/>
      </w:pPr>
      <w:r>
        <w:rPr/>
        <w:t>（五）针对质疑事项必要的证明材料（针对招标文件提出的质疑，需提交从交易系统获取的招标文件回执单）。</w:t>
      </w:r>
    </w:p>
    <w:p>
      <w:pPr>
        <w:pStyle w:val="null3"/>
        <w:ind w:firstLine="480"/>
        <w:jc w:val="left"/>
      </w:pPr>
      <w:r>
        <w:rPr/>
        <w:t>注：根据《中华人民共和国政府采购法》的规定，投标人质疑不得超出招标文件、采购过程、采购结果的范围。</w:t>
      </w:r>
    </w:p>
    <w:p>
      <w:pPr>
        <w:pStyle w:val="null3"/>
        <w:ind w:firstLine="480"/>
        <w:jc w:val="left"/>
      </w:pPr>
      <w:r>
        <w:rPr/>
        <w:t>七、投标人对采购人或者代理机构的质疑答复不满意，或者采购人或者代理机构未在规定期限内作出答复的，投标人可以在答复期满后15个工作日内向同级财政部门提起投诉。（政府采购投标人投诉书范本可在四川政府采购网下载专区下载）</w:t>
      </w:r>
    </w:p>
    <w:p>
      <w:pPr>
        <w:pStyle w:val="null3"/>
        <w:ind w:firstLine="480"/>
        <w:jc w:val="left"/>
      </w:pPr>
      <w:r>
        <w:rPr/>
        <w:t>八、法律责任</w:t>
      </w:r>
    </w:p>
    <w:p>
      <w:pPr>
        <w:pStyle w:val="null3"/>
        <w:ind w:firstLine="480"/>
        <w:jc w:val="left"/>
      </w:pPr>
      <w:r>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t>（一）拒收质疑供应商在法定质疑期内发出的质疑函；</w:t>
      </w:r>
    </w:p>
    <w:p>
      <w:pPr>
        <w:pStyle w:val="null3"/>
        <w:ind w:firstLine="480"/>
        <w:jc w:val="left"/>
      </w:pPr>
      <w:r>
        <w:rPr/>
        <w:t>（二）对质疑不予答复或者答复与事实明显不符，并不能作出合理说明；</w:t>
      </w:r>
    </w:p>
    <w:p>
      <w:pPr>
        <w:pStyle w:val="null3"/>
        <w:ind w:firstLine="480"/>
        <w:jc w:val="left"/>
      </w:pPr>
      <w:r>
        <w:rPr/>
        <w:t>（三）拒绝配合财政部门处理投诉事宜。</w:t>
      </w:r>
    </w:p>
    <w:p>
      <w:pPr>
        <w:pStyle w:val="null3"/>
        <w:ind w:firstLine="480"/>
        <w:jc w:val="left"/>
      </w:pPr>
      <w:r>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t>（一）捏造事实；</w:t>
      </w:r>
    </w:p>
    <w:p>
      <w:pPr>
        <w:pStyle w:val="null3"/>
        <w:ind w:firstLine="480"/>
        <w:jc w:val="left"/>
      </w:pPr>
      <w:r>
        <w:rPr/>
        <w:t>（二）提供虚假材料；</w:t>
      </w:r>
    </w:p>
    <w:p>
      <w:pPr>
        <w:pStyle w:val="null3"/>
        <w:ind w:firstLine="480"/>
        <w:jc w:val="left"/>
      </w:pPr>
      <w:r>
        <w:rPr/>
        <w:t>（三）以非法手段取得证明材料。证据来源的合法性存在明显疑问，投标人无法证明其取得方式合法的，视为以非法手段取得证明材料。</w:t>
      </w:r>
    </w:p>
    <w:p>
      <w:pPr>
        <w:pStyle w:val="null3"/>
        <w:jc w:val="left"/>
        <w:outlineLvl w:val="2"/>
      </w:pPr>
      <w:r>
        <w:rPr>
          <w:b/>
          <w:sz w:val="28"/>
        </w:rPr>
        <w:t>2.9.电子化采购特殊情形处理</w:t>
      </w:r>
    </w:p>
    <w:p>
      <w:pPr>
        <w:pStyle w:val="null3"/>
        <w:ind w:firstLine="480"/>
        <w:jc w:val="left"/>
      </w:pPr>
      <w:r>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b/>
          <w:sz w:val="24"/>
        </w:rPr>
        <w:t>2.9.1.平台系统故障处理</w:t>
      </w:r>
    </w:p>
    <w:p>
      <w:pPr>
        <w:pStyle w:val="null3"/>
        <w:ind w:firstLine="480"/>
        <w:jc w:val="left"/>
      </w:pPr>
      <w:r>
        <w:rPr/>
        <w:t>平台系统故障是指因平台所部署的基础软硬件环境、网络环境或者平台功能应用出现异常，导致的平台访问失败、数据出错或者规则失效等问题。</w:t>
      </w:r>
    </w:p>
    <w:p>
      <w:pPr>
        <w:pStyle w:val="null3"/>
        <w:ind w:firstLine="480"/>
        <w:jc w:val="left"/>
      </w:pPr>
      <w:r>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群或者开评标专线电话进行反馈。</w:t>
      </w:r>
    </w:p>
    <w:p>
      <w:pPr>
        <w:pStyle w:val="null3"/>
        <w:ind w:firstLine="480"/>
        <w:jc w:val="left"/>
      </w:pPr>
      <w:r>
        <w:rPr/>
        <w:t>平台运维单位负责采购平台系统故障的排查认定，对认定为采购平台系统故障的，通过四川政府采购网发布运维通知，明确故障类型、故障期间、影响范围、处理意见。故障排除后，采购人、代理机构应当依据系统故障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t>对经核实排查认定不属于平台系统故障的，采购人、代理机构、供应商、评审委员会应按政府采购法律制度和平台操作要求开展后续操作。</w:t>
      </w:r>
    </w:p>
    <w:p>
      <w:pPr>
        <w:pStyle w:val="null3"/>
        <w:ind w:firstLine="480"/>
        <w:jc w:val="left"/>
      </w:pPr>
      <w:r>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b/>
          <w:sz w:val="24"/>
        </w:rPr>
        <w:t>2.9.2.其他特殊情形处理</w:t>
      </w:r>
    </w:p>
    <w:p>
      <w:pPr>
        <w:pStyle w:val="null3"/>
        <w:ind w:firstLine="480"/>
        <w:jc w:val="left"/>
      </w:pPr>
      <w:r>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b/>
          <w:sz w:val="24"/>
        </w:rPr>
        <w:t>2.9.3.注意事项</w:t>
      </w:r>
    </w:p>
    <w:p>
      <w:pPr>
        <w:pStyle w:val="null3"/>
        <w:ind w:firstLine="480"/>
        <w:jc w:val="left"/>
      </w:pPr>
      <w:r>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b/>
          <w:sz w:val="28"/>
        </w:rPr>
        <w:t>2.10.样品评审</w:t>
      </w:r>
    </w:p>
    <w:p>
      <w:pPr>
        <w:pStyle w:val="null3"/>
        <w:ind w:firstLine="480"/>
        <w:jc w:val="left"/>
      </w:pPr>
      <w:r>
        <w:rPr/>
        <w:t>采购包1：本采购包无需提交样品</w:t>
      </w:r>
    </w:p>
    <w:p>
      <w:pPr>
        <w:pStyle w:val="null3"/>
        <w:ind w:firstLine="480"/>
        <w:jc w:val="left"/>
      </w:pPr>
      <w:r>
        <w:rPr/>
        <w:t>要求提供样品评审的项目，样品评审环节采取线下方式进行。</w:t>
      </w:r>
    </w:p>
    <w:p>
      <w:pPr>
        <w:pStyle w:val="null3"/>
        <w:ind w:firstLine="480"/>
        <w:jc w:val="left"/>
      </w:pPr>
      <w:r>
        <w:rPr/>
        <w:t>采购人或者代理机构应当在招标文件中明确线下开展采购活动的规则和方式，不得对投标人实行差别待遇或者歧视性待遇。线下采购活动应当全过程录音录像，形成书面评审记录上传至交易系统。</w:t>
      </w:r>
    </w:p>
    <w:p>
      <w:pPr>
        <w:pStyle w:val="null3"/>
      </w:pPr>
      <w:r>
        <w:rPr/>
        <w:t xml:space="preserve"> </w:t>
        <w:br/>
        <w:br w:type="page"/>
      </w:r>
    </w:p>
    <w:p>
      <w:pPr>
        <w:pStyle w:val="null3"/>
        <w:jc w:val="center"/>
        <w:outlineLvl w:val="1"/>
      </w:pPr>
      <w:r>
        <w:rPr>
          <w:b/>
          <w:sz w:val="36"/>
        </w:rPr>
        <w:t>第三章 技术、服务及其他要求</w:t>
      </w:r>
    </w:p>
    <w:p>
      <w:pPr>
        <w:pStyle w:val="null3"/>
        <w:ind w:firstLine="480"/>
        <w:jc w:val="left"/>
      </w:pPr>
      <w:r>
        <w:rPr/>
        <w:t>（注：本章的技术、服务及其他要求中，带“★”的要求为实质性要求。采购人、代理机构应当根据项目实际要求合理设定，并在第五章符合性审查中明确响应要求。）</w:t>
      </w:r>
    </w:p>
    <w:p>
      <w:pPr>
        <w:pStyle w:val="null3"/>
        <w:jc w:val="left"/>
        <w:outlineLvl w:val="2"/>
      </w:pPr>
      <w:r>
        <w:rPr>
          <w:b/>
          <w:sz w:val="28"/>
        </w:rPr>
        <w:t>3.1.采购项目概况</w:t>
      </w:r>
    </w:p>
    <w:p>
      <w:pPr>
        <w:pStyle w:val="null3"/>
        <w:ind w:firstLine="480"/>
        <w:jc w:val="left"/>
      </w:pPr>
      <w:r>
        <w:rPr>
          <w:rFonts w:ascii="宋体" w:hAnsi="宋体" w:cs="宋体" w:eastAsia="宋体"/>
          <w:sz w:val="24"/>
        </w:rPr>
        <w:t>3.1.1</w:t>
      </w:r>
      <w:r>
        <w:rPr>
          <w:rFonts w:ascii="宋体" w:hAnsi="宋体" w:cs="宋体" w:eastAsia="宋体"/>
          <w:sz w:val="24"/>
        </w:rPr>
        <w:t>本项目共</w:t>
      </w:r>
      <w:r>
        <w:rPr>
          <w:rFonts w:ascii="宋体" w:hAnsi="宋体" w:cs="宋体" w:eastAsia="宋体"/>
          <w:sz w:val="24"/>
        </w:rPr>
        <w:t xml:space="preserve"> 1 个包，采购无人机侦测、反制设备和角反射器。</w:t>
      </w:r>
    </w:p>
    <w:p>
      <w:pPr>
        <w:pStyle w:val="null3"/>
        <w:ind w:firstLine="480"/>
        <w:jc w:val="both"/>
      </w:pPr>
      <w:r>
        <w:rPr>
          <w:rFonts w:ascii="宋体" w:hAnsi="宋体" w:cs="宋体" w:eastAsia="宋体"/>
          <w:sz w:val="24"/>
        </w:rPr>
        <w:t>3.1.2标的信息：本项目标的名称，（</w:t>
      </w:r>
      <w:r>
        <w:rPr>
          <w:rFonts w:ascii="宋体" w:hAnsi="宋体" w:cs="宋体" w:eastAsia="宋体"/>
          <w:sz w:val="24"/>
        </w:rPr>
        <w:t>无人机侦测设备</w:t>
      </w:r>
      <w:r>
        <w:rPr>
          <w:rFonts w:ascii="宋体" w:hAnsi="宋体" w:cs="宋体" w:eastAsia="宋体"/>
          <w:sz w:val="24"/>
        </w:rPr>
        <w:t>（含</w:t>
      </w:r>
      <w:r>
        <w:rPr>
          <w:rFonts w:ascii="宋体" w:hAnsi="宋体" w:cs="宋体" w:eastAsia="宋体"/>
          <w:sz w:val="24"/>
        </w:rPr>
        <w:t>系统软件指控平台</w:t>
      </w:r>
      <w:r>
        <w:rPr>
          <w:rFonts w:ascii="宋体" w:hAnsi="宋体" w:cs="宋体" w:eastAsia="宋体"/>
          <w:sz w:val="24"/>
        </w:rPr>
        <w:t>）、</w:t>
      </w:r>
      <w:r>
        <w:rPr>
          <w:rFonts w:ascii="宋体" w:hAnsi="宋体" w:cs="宋体" w:eastAsia="宋体"/>
          <w:sz w:val="24"/>
        </w:rPr>
        <w:t>便携式</w:t>
      </w:r>
      <w:r>
        <w:rPr>
          <w:rFonts w:ascii="宋体" w:hAnsi="宋体" w:cs="宋体" w:eastAsia="宋体"/>
          <w:sz w:val="24"/>
        </w:rPr>
        <w:t>侦测</w:t>
      </w:r>
      <w:r>
        <w:rPr>
          <w:rFonts w:ascii="宋体" w:hAnsi="宋体" w:cs="宋体" w:eastAsia="宋体"/>
          <w:sz w:val="24"/>
        </w:rPr>
        <w:t>反制设备、</w:t>
      </w:r>
      <w:r>
        <w:rPr>
          <w:rFonts w:ascii="宋体" w:hAnsi="宋体" w:cs="宋体" w:eastAsia="宋体"/>
          <w:sz w:val="24"/>
        </w:rPr>
        <w:t>便携式反制设备、</w:t>
      </w:r>
      <w:r>
        <w:rPr>
          <w:rFonts w:ascii="宋体" w:hAnsi="宋体" w:cs="宋体" w:eastAsia="宋体"/>
          <w:sz w:val="24"/>
        </w:rPr>
        <w:t>角反射器）</w:t>
      </w:r>
      <w:r>
        <w:rPr>
          <w:rFonts w:ascii="宋体" w:hAnsi="宋体" w:cs="宋体" w:eastAsia="宋体"/>
          <w:sz w:val="24"/>
        </w:rPr>
        <w:t>在填写中小企业声明函时</w:t>
      </w:r>
      <w:r>
        <w:rPr>
          <w:rFonts w:ascii="宋体" w:hAnsi="宋体" w:cs="宋体" w:eastAsia="宋体"/>
          <w:b/>
          <w:sz w:val="24"/>
        </w:rPr>
        <w:t>以此为准，</w:t>
      </w:r>
      <w:r>
        <w:rPr>
          <w:rFonts w:ascii="宋体" w:hAnsi="宋体" w:cs="宋体" w:eastAsia="宋体"/>
          <w:sz w:val="24"/>
        </w:rPr>
        <w:t>采购标的所属行业为工业。</w:t>
      </w:r>
    </w:p>
    <w:p>
      <w:pPr>
        <w:pStyle w:val="null3"/>
        <w:ind w:firstLine="480"/>
        <w:jc w:val="both"/>
      </w:pPr>
      <w:r>
        <w:rPr>
          <w:rFonts w:ascii="宋体" w:hAnsi="宋体" w:cs="宋体" w:eastAsia="宋体"/>
          <w:sz w:val="24"/>
        </w:rPr>
        <w:t>★3.1.3投标人应单独上传一份报价明细表【此项内容在“分项报价明细表”中提供】或投标人认为应当提供的其他材料中提供。</w:t>
      </w:r>
      <w:r>
        <w:rPr>
          <w:rFonts w:ascii="宋体" w:hAnsi="宋体" w:cs="宋体" w:eastAsia="宋体"/>
          <w:sz w:val="24"/>
        </w:rPr>
        <w:t>无人机侦测设备</w:t>
      </w:r>
      <w:r>
        <w:rPr>
          <w:rFonts w:ascii="宋体" w:hAnsi="宋体" w:cs="宋体" w:eastAsia="宋体"/>
          <w:sz w:val="24"/>
        </w:rPr>
        <w:t>（含</w:t>
      </w:r>
      <w:r>
        <w:rPr>
          <w:rFonts w:ascii="宋体" w:hAnsi="宋体" w:cs="宋体" w:eastAsia="宋体"/>
          <w:sz w:val="24"/>
        </w:rPr>
        <w:t>系统软件指控平台</w:t>
      </w:r>
      <w:r>
        <w:rPr>
          <w:rFonts w:ascii="宋体" w:hAnsi="宋体" w:cs="宋体" w:eastAsia="宋体"/>
          <w:sz w:val="24"/>
        </w:rPr>
        <w:t>）+</w:t>
      </w:r>
      <w:r>
        <w:rPr>
          <w:rFonts w:ascii="宋体" w:hAnsi="宋体" w:cs="宋体" w:eastAsia="宋体"/>
          <w:sz w:val="24"/>
        </w:rPr>
        <w:t>便携式</w:t>
      </w:r>
      <w:r>
        <w:rPr>
          <w:rFonts w:ascii="宋体" w:hAnsi="宋体" w:cs="宋体" w:eastAsia="宋体"/>
          <w:sz w:val="24"/>
        </w:rPr>
        <w:t>侦测</w:t>
      </w:r>
      <w:r>
        <w:rPr>
          <w:rFonts w:ascii="宋体" w:hAnsi="宋体" w:cs="宋体" w:eastAsia="宋体"/>
          <w:sz w:val="24"/>
        </w:rPr>
        <w:t>反制设备+</w:t>
      </w:r>
      <w:r>
        <w:rPr>
          <w:rFonts w:ascii="宋体" w:hAnsi="宋体" w:cs="宋体" w:eastAsia="宋体"/>
          <w:sz w:val="24"/>
        </w:rPr>
        <w:t>便携式反制设备报价合计不可超过45万元，角反射器报价单价不超过200元。</w:t>
      </w:r>
    </w:p>
    <w:tbl>
      <w:tblPr>
        <w:tblW w:w="0" w:type="auto"/>
        <w:tblBorders>
          <w:top w:val="none" w:color="000000" w:sz="4"/>
          <w:left w:val="none" w:color="000000" w:sz="4"/>
          <w:bottom w:val="none" w:color="000000" w:sz="4"/>
          <w:right w:val="none" w:color="000000" w:sz="4"/>
          <w:insideH w:val="none"/>
          <w:insideV w:val="none"/>
        </w:tblBorders>
      </w:tblPr>
      <w:tblGrid>
        <w:gridCol w:w="656"/>
        <w:gridCol w:w="2685"/>
        <w:gridCol w:w="905"/>
        <w:gridCol w:w="948"/>
        <w:gridCol w:w="1824"/>
        <w:gridCol w:w="1255"/>
      </w:tblGrid>
      <w:tr>
        <w:tc>
          <w:tcPr>
            <w:tcW w:type="dxa" w:w="65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firstLine="480"/>
              <w:jc w:val="center"/>
            </w:pPr>
            <w:r>
              <w:rPr>
                <w:rFonts w:ascii="宋体" w:hAnsi="宋体" w:cs="宋体" w:eastAsia="宋体"/>
                <w:sz w:val="24"/>
              </w:rPr>
              <w:t>序号</w:t>
            </w:r>
          </w:p>
        </w:tc>
        <w:tc>
          <w:tcPr>
            <w:tcW w:type="dxa" w:w="26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firstLine="480"/>
              <w:jc w:val="center"/>
            </w:pPr>
            <w:r>
              <w:rPr>
                <w:rFonts w:ascii="宋体" w:hAnsi="宋体" w:cs="宋体" w:eastAsia="宋体"/>
                <w:sz w:val="24"/>
              </w:rPr>
              <w:t>标的名称</w:t>
            </w:r>
          </w:p>
        </w:tc>
        <w:tc>
          <w:tcPr>
            <w:tcW w:type="dxa" w:w="90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firstLine="480"/>
              <w:jc w:val="center"/>
            </w:pPr>
            <w:r>
              <w:rPr>
                <w:rFonts w:ascii="宋体" w:hAnsi="宋体" w:cs="宋体" w:eastAsia="宋体"/>
                <w:sz w:val="24"/>
              </w:rPr>
              <w:t>数量</w:t>
            </w:r>
          </w:p>
        </w:tc>
        <w:tc>
          <w:tcPr>
            <w:tcW w:type="dxa" w:w="94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firstLine="480"/>
              <w:jc w:val="center"/>
            </w:pPr>
            <w:r>
              <w:rPr>
                <w:rFonts w:ascii="宋体" w:hAnsi="宋体" w:cs="宋体" w:eastAsia="宋体"/>
                <w:sz w:val="24"/>
              </w:rPr>
              <w:t>单位</w:t>
            </w:r>
          </w:p>
        </w:tc>
        <w:tc>
          <w:tcPr>
            <w:tcW w:type="dxa" w:w="182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firstLine="480"/>
              <w:jc w:val="center"/>
            </w:pPr>
            <w:r>
              <w:rPr>
                <w:rFonts w:ascii="宋体" w:hAnsi="宋体" w:cs="宋体" w:eastAsia="宋体"/>
                <w:sz w:val="24"/>
              </w:rPr>
              <w:t>限价（元）</w:t>
            </w:r>
          </w:p>
        </w:tc>
        <w:tc>
          <w:tcPr>
            <w:tcW w:type="dxa" w:w="125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20" w:firstLine="480"/>
              <w:jc w:val="center"/>
            </w:pPr>
            <w:r>
              <w:rPr>
                <w:rFonts w:ascii="宋体" w:hAnsi="宋体" w:cs="宋体" w:eastAsia="宋体"/>
                <w:sz w:val="24"/>
              </w:rPr>
              <w:t>所属行业</w:t>
            </w:r>
          </w:p>
        </w:tc>
      </w:tr>
      <w:tr>
        <w:tc>
          <w:tcPr>
            <w:tcW w:type="dxa" w:w="656"/>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firstLine="480"/>
              <w:jc w:val="center"/>
            </w:pPr>
            <w:r>
              <w:rPr>
                <w:rFonts w:ascii="宋体" w:hAnsi="宋体" w:cs="宋体" w:eastAsia="宋体"/>
                <w:sz w:val="24"/>
              </w:rPr>
              <w:t>1</w:t>
            </w:r>
          </w:p>
        </w:tc>
        <w:tc>
          <w:tcPr>
            <w:tcW w:type="dxa" w:w="26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firstLine="480"/>
              <w:jc w:val="left"/>
            </w:pPr>
            <w:r>
              <w:rPr>
                <w:rFonts w:ascii="宋体" w:hAnsi="宋体" w:cs="宋体" w:eastAsia="宋体"/>
                <w:sz w:val="24"/>
              </w:rPr>
              <w:t>无人机侦测设备</w:t>
            </w:r>
            <w:r>
              <w:rPr>
                <w:rFonts w:ascii="宋体" w:hAnsi="宋体" w:cs="宋体" w:eastAsia="宋体"/>
                <w:sz w:val="24"/>
              </w:rPr>
              <w:t>（含</w:t>
            </w:r>
            <w:r>
              <w:rPr>
                <w:rFonts w:ascii="宋体" w:hAnsi="宋体" w:cs="宋体" w:eastAsia="宋体"/>
                <w:sz w:val="24"/>
              </w:rPr>
              <w:t>系统软件指控平台</w:t>
            </w:r>
            <w:r>
              <w:rPr>
                <w:rFonts w:ascii="宋体" w:hAnsi="宋体" w:cs="宋体" w:eastAsia="宋体"/>
                <w:sz w:val="24"/>
              </w:rPr>
              <w:t>）</w:t>
            </w:r>
          </w:p>
        </w:tc>
        <w:tc>
          <w:tcPr>
            <w:tcW w:type="dxa" w:w="90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35" w:firstLine="480"/>
              <w:jc w:val="center"/>
            </w:pPr>
            <w:r>
              <w:rPr>
                <w:rFonts w:ascii="宋体" w:hAnsi="宋体" w:cs="宋体" w:eastAsia="宋体"/>
                <w:sz w:val="24"/>
              </w:rPr>
              <w:t>1</w:t>
            </w:r>
          </w:p>
        </w:tc>
        <w:tc>
          <w:tcPr>
            <w:tcW w:type="dxa" w:w="948"/>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firstLine="480"/>
              <w:jc w:val="center"/>
            </w:pPr>
            <w:r>
              <w:rPr>
                <w:rFonts w:ascii="宋体" w:hAnsi="宋体" w:cs="宋体" w:eastAsia="宋体"/>
                <w:sz w:val="24"/>
              </w:rPr>
              <w:t>套</w:t>
            </w:r>
          </w:p>
          <w:p>
            <w:pPr>
              <w:pStyle w:val="null3"/>
              <w:spacing w:before="45"/>
              <w:ind w:left="150" w:firstLine="480"/>
              <w:jc w:val="center"/>
            </w:pPr>
          </w:p>
        </w:tc>
        <w:tc>
          <w:tcPr>
            <w:tcW w:type="dxa" w:w="1824"/>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450000</w:t>
            </w:r>
          </w:p>
        </w:tc>
        <w:tc>
          <w:tcPr>
            <w:tcW w:type="dxa" w:w="1255"/>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35" w:firstLine="480"/>
              <w:jc w:val="center"/>
            </w:pPr>
            <w:r>
              <w:rPr>
                <w:rFonts w:ascii="宋体" w:hAnsi="宋体" w:cs="宋体" w:eastAsia="宋体"/>
                <w:sz w:val="24"/>
              </w:rPr>
              <w:t>工业</w:t>
            </w:r>
          </w:p>
          <w:p>
            <w:pPr>
              <w:pStyle w:val="null3"/>
              <w:spacing w:before="45"/>
              <w:ind w:firstLine="480"/>
              <w:jc w:val="both"/>
            </w:pPr>
          </w:p>
        </w:tc>
      </w:tr>
      <w:tr>
        <w:tc>
          <w:tcPr>
            <w:tcW w:type="dxa" w:w="656"/>
            <w:vMerge/>
            <w:tcBorders>
              <w:top w:val="none" w:color="000000" w:sz="4"/>
              <w:left w:val="single" w:color="000000" w:sz="4"/>
              <w:bottom w:val="single" w:color="000000" w:sz="4"/>
              <w:right w:val="single" w:color="000000" w:sz="4"/>
            </w:tcBorders>
          </w:tcPr>
          <w:p/>
        </w:tc>
        <w:tc>
          <w:tcPr>
            <w:tcW w:type="dxa" w:w="26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宋体" w:hAnsi="宋体" w:cs="宋体" w:eastAsia="宋体"/>
                <w:sz w:val="24"/>
              </w:rPr>
              <w:t>便携式</w:t>
            </w:r>
            <w:r>
              <w:rPr>
                <w:rFonts w:ascii="宋体" w:hAnsi="宋体" w:cs="宋体" w:eastAsia="宋体"/>
                <w:sz w:val="24"/>
              </w:rPr>
              <w:t>侦测</w:t>
            </w:r>
            <w:r>
              <w:rPr>
                <w:rFonts w:ascii="宋体" w:hAnsi="宋体" w:cs="宋体" w:eastAsia="宋体"/>
                <w:sz w:val="24"/>
              </w:rPr>
              <w:t>反制设备</w:t>
            </w:r>
          </w:p>
        </w:tc>
        <w:tc>
          <w:tcPr>
            <w:tcW w:type="dxa" w:w="905"/>
            <w:vMerge/>
            <w:tcBorders>
              <w:top w:val="none" w:color="000000" w:sz="4"/>
              <w:left w:val="single" w:color="000000" w:sz="4"/>
              <w:bottom w:val="single" w:color="000000" w:sz="4"/>
              <w:right w:val="single" w:color="000000" w:sz="4"/>
            </w:tcBorders>
          </w:tcPr>
          <w:p/>
        </w:tc>
        <w:tc>
          <w:tcPr>
            <w:tcW w:type="dxa" w:w="948"/>
            <w:vMerge/>
            <w:tcBorders>
              <w:top w:val="none" w:color="000000" w:sz="4"/>
              <w:left w:val="single" w:color="000000" w:sz="4"/>
              <w:bottom w:val="single" w:color="000000" w:sz="4"/>
              <w:right w:val="single" w:color="000000" w:sz="4"/>
            </w:tcBorders>
          </w:tcPr>
          <w:p/>
        </w:tc>
        <w:tc>
          <w:tcPr>
            <w:tcW w:type="dxa" w:w="1824"/>
            <w:vMerge/>
            <w:tcBorders>
              <w:top w:val="none" w:color="000000" w:sz="4"/>
              <w:left w:val="single" w:color="000000" w:sz="4"/>
              <w:bottom w:val="single" w:color="000000" w:sz="4"/>
              <w:right w:val="single" w:color="000000" w:sz="4"/>
            </w:tcBorders>
          </w:tcPr>
          <w:p/>
        </w:tc>
        <w:tc>
          <w:tcPr>
            <w:tcW w:type="dxa" w:w="1255"/>
            <w:vMerge/>
            <w:tcBorders>
              <w:top w:val="none" w:color="000000" w:sz="4"/>
              <w:left w:val="single" w:color="000000" w:sz="4"/>
              <w:bottom w:val="single" w:color="000000" w:sz="4"/>
              <w:right w:val="single" w:color="000000" w:sz="4"/>
            </w:tcBorders>
          </w:tcPr>
          <w:p/>
        </w:tc>
      </w:tr>
      <w:tr>
        <w:tc>
          <w:tcPr>
            <w:tcW w:type="dxa" w:w="656"/>
            <w:vMerge/>
            <w:tcBorders>
              <w:top w:val="none" w:color="000000" w:sz="4"/>
              <w:left w:val="single" w:color="000000" w:sz="4"/>
              <w:bottom w:val="single" w:color="000000" w:sz="4"/>
              <w:right w:val="single" w:color="000000" w:sz="4"/>
            </w:tcBorders>
          </w:tcPr>
          <w:p/>
        </w:tc>
        <w:tc>
          <w:tcPr>
            <w:tcW w:type="dxa" w:w="26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firstLine="480"/>
              <w:jc w:val="left"/>
            </w:pPr>
            <w:r>
              <w:rPr>
                <w:rFonts w:ascii="宋体" w:hAnsi="宋体" w:cs="宋体" w:eastAsia="宋体"/>
                <w:sz w:val="24"/>
              </w:rPr>
              <w:t>便携式反制设备</w:t>
            </w:r>
          </w:p>
        </w:tc>
        <w:tc>
          <w:tcPr>
            <w:tcW w:type="dxa" w:w="905"/>
            <w:vMerge/>
            <w:tcBorders>
              <w:top w:val="none" w:color="000000" w:sz="4"/>
              <w:left w:val="single" w:color="000000" w:sz="4"/>
              <w:bottom w:val="single" w:color="000000" w:sz="4"/>
              <w:right w:val="single" w:color="000000" w:sz="4"/>
            </w:tcBorders>
          </w:tcPr>
          <w:p/>
        </w:tc>
        <w:tc>
          <w:tcPr>
            <w:tcW w:type="dxa" w:w="948"/>
            <w:vMerge/>
            <w:tcBorders>
              <w:top w:val="none" w:color="000000" w:sz="4"/>
              <w:left w:val="single" w:color="000000" w:sz="4"/>
              <w:bottom w:val="single" w:color="000000" w:sz="4"/>
              <w:right w:val="single" w:color="000000" w:sz="4"/>
            </w:tcBorders>
          </w:tcPr>
          <w:p/>
        </w:tc>
        <w:tc>
          <w:tcPr>
            <w:tcW w:type="dxa" w:w="1824"/>
            <w:vMerge/>
            <w:tcBorders>
              <w:top w:val="none" w:color="000000" w:sz="4"/>
              <w:left w:val="single" w:color="000000" w:sz="4"/>
              <w:bottom w:val="single" w:color="000000" w:sz="4"/>
              <w:right w:val="single" w:color="000000" w:sz="4"/>
            </w:tcBorders>
          </w:tcPr>
          <w:p/>
        </w:tc>
        <w:tc>
          <w:tcPr>
            <w:tcW w:type="dxa" w:w="1255"/>
            <w:vMerge/>
            <w:tcBorders>
              <w:top w:val="none" w:color="000000" w:sz="4"/>
              <w:left w:val="single" w:color="000000" w:sz="4"/>
              <w:bottom w:val="single" w:color="000000" w:sz="4"/>
              <w:right w:val="single" w:color="000000" w:sz="4"/>
            </w:tcBorders>
          </w:tcPr>
          <w:p/>
        </w:tc>
      </w:tr>
      <w:tr>
        <w:tc>
          <w:tcPr>
            <w:tcW w:type="dxa" w:w="6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firstLine="480"/>
              <w:jc w:val="center"/>
            </w:pPr>
            <w:r>
              <w:rPr>
                <w:rFonts w:ascii="宋体" w:hAnsi="宋体" w:cs="宋体" w:eastAsia="宋体"/>
                <w:sz w:val="24"/>
              </w:rPr>
              <w:t>2</w:t>
            </w:r>
          </w:p>
        </w:tc>
        <w:tc>
          <w:tcPr>
            <w:tcW w:type="dxa" w:w="26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50" w:firstLine="480"/>
              <w:jc w:val="left"/>
            </w:pPr>
            <w:r>
              <w:rPr>
                <w:rFonts w:ascii="宋体" w:hAnsi="宋体" w:cs="宋体" w:eastAsia="宋体"/>
                <w:sz w:val="24"/>
              </w:rPr>
              <w:t>角反射器</w:t>
            </w:r>
          </w:p>
        </w:tc>
        <w:tc>
          <w:tcPr>
            <w:tcW w:type="dxa" w:w="90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120" w:firstLine="480"/>
              <w:jc w:val="center"/>
            </w:pPr>
            <w:r>
              <w:rPr>
                <w:rFonts w:ascii="宋体" w:hAnsi="宋体" w:cs="宋体" w:eastAsia="宋体"/>
                <w:sz w:val="24"/>
              </w:rPr>
              <w:t>250</w:t>
            </w:r>
          </w:p>
        </w:tc>
        <w:tc>
          <w:tcPr>
            <w:tcW w:type="dxa" w:w="94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firstLine="480"/>
              <w:jc w:val="center"/>
            </w:pPr>
            <w:r>
              <w:rPr>
                <w:rFonts w:ascii="宋体" w:hAnsi="宋体" w:cs="宋体" w:eastAsia="宋体"/>
                <w:sz w:val="24"/>
              </w:rPr>
              <w:t>个</w:t>
            </w:r>
          </w:p>
        </w:tc>
        <w:tc>
          <w:tcPr>
            <w:tcW w:type="dxa" w:w="18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20" w:firstLine="480"/>
              <w:jc w:val="center"/>
            </w:pPr>
            <w:r>
              <w:rPr>
                <w:rFonts w:ascii="宋体" w:hAnsi="宋体" w:cs="宋体" w:eastAsia="宋体"/>
                <w:sz w:val="24"/>
              </w:rPr>
              <w:t>200</w:t>
            </w:r>
          </w:p>
        </w:tc>
        <w:tc>
          <w:tcPr>
            <w:tcW w:type="dxa" w:w="125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ind w:left="135" w:firstLine="480"/>
              <w:jc w:val="center"/>
            </w:pPr>
            <w:r>
              <w:rPr>
                <w:rFonts w:ascii="宋体" w:hAnsi="宋体" w:cs="宋体" w:eastAsia="宋体"/>
                <w:sz w:val="24"/>
              </w:rPr>
              <w:t>工业</w:t>
            </w:r>
          </w:p>
        </w:tc>
      </w:tr>
    </w:tbl>
    <w:p>
      <w:pPr>
        <w:pStyle w:val="null3"/>
        <w:ind w:firstLine="480"/>
        <w:jc w:val="both"/>
      </w:pPr>
      <w:r>
        <w:rPr>
          <w:rFonts w:ascii="宋体" w:hAnsi="宋体" w:cs="宋体" w:eastAsia="宋体"/>
          <w:b/>
          <w:sz w:val="24"/>
        </w:rPr>
        <w:t>核心产品为：无人机侦测设备（含系统软件指控平台）</w:t>
      </w:r>
    </w:p>
    <w:p>
      <w:pPr>
        <w:pStyle w:val="null3"/>
        <w:jc w:val="left"/>
        <w:outlineLvl w:val="2"/>
      </w:pPr>
      <w:r>
        <w:rPr>
          <w:b/>
          <w:sz w:val="28"/>
        </w:rPr>
        <w:t>3.2.采购内容</w:t>
      </w:r>
    </w:p>
    <w:p>
      <w:pPr>
        <w:pStyle w:val="null3"/>
        <w:jc w:val="left"/>
      </w:pPr>
      <w:r>
        <w:rPr/>
        <w:t>采购包1：</w:t>
      </w:r>
    </w:p>
    <w:p>
      <w:pPr>
        <w:pStyle w:val="null3"/>
        <w:jc w:val="left"/>
      </w:pPr>
      <w:r>
        <w:rPr/>
        <w:t>采购包预算金额（元）: 500,000.00</w:t>
      </w:r>
    </w:p>
    <w:p>
      <w:pPr>
        <w:pStyle w:val="null3"/>
        <w:jc w:val="left"/>
      </w:pPr>
      <w:r>
        <w:rPr/>
        <w:t>采购包最高限价（元）: 500,000.00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t>序号</w:t>
            </w:r>
          </w:p>
        </w:tc>
        <w:tc>
          <w:tcPr>
            <w:tcW w:type="dxa" w:w="821"/>
          </w:tcPr>
          <w:p>
            <w:pPr>
              <w:pStyle w:val="null3"/>
              <w:jc w:val="center"/>
            </w:pPr>
            <w:r>
              <w:rPr/>
              <w:t>采购品目名称</w:t>
            </w:r>
          </w:p>
        </w:tc>
        <w:tc>
          <w:tcPr>
            <w:tcW w:type="dxa" w:w="821"/>
          </w:tcPr>
          <w:p>
            <w:pPr>
              <w:pStyle w:val="null3"/>
              <w:jc w:val="center"/>
            </w:pPr>
            <w:r>
              <w:rPr/>
              <w:t>标的名称</w:t>
            </w:r>
          </w:p>
        </w:tc>
        <w:tc>
          <w:tcPr>
            <w:tcW w:type="dxa" w:w="821"/>
          </w:tcPr>
          <w:p>
            <w:pPr>
              <w:pStyle w:val="null3"/>
              <w:jc w:val="center"/>
            </w:pPr>
            <w:r>
              <w:rPr/>
              <w:t>数量</w:t>
            </w:r>
            <w:r>
              <w:br/>
            </w:r>
            <w:r>
              <w:rPr/>
              <w:t>(计量单位)</w:t>
            </w:r>
          </w:p>
        </w:tc>
        <w:tc>
          <w:tcPr>
            <w:tcW w:type="dxa" w:w="821"/>
          </w:tcPr>
          <w:p>
            <w:pPr>
              <w:pStyle w:val="null3"/>
              <w:jc w:val="center"/>
            </w:pPr>
            <w:r>
              <w:rPr/>
              <w:t>标的金额 （元）</w:t>
            </w:r>
          </w:p>
        </w:tc>
        <w:tc>
          <w:tcPr>
            <w:tcW w:type="dxa" w:w="821"/>
          </w:tcPr>
          <w:p>
            <w:pPr>
              <w:pStyle w:val="null3"/>
              <w:jc w:val="center"/>
            </w:pPr>
            <w:r>
              <w:rPr/>
              <w:t>所属行业</w:t>
            </w:r>
          </w:p>
        </w:tc>
        <w:tc>
          <w:tcPr>
            <w:tcW w:type="dxa" w:w="821"/>
          </w:tcPr>
          <w:p>
            <w:pPr>
              <w:pStyle w:val="null3"/>
              <w:jc w:val="center"/>
            </w:pPr>
            <w:r>
              <w:rPr/>
              <w:t>是否涉及核心产品</w:t>
            </w:r>
          </w:p>
        </w:tc>
        <w:tc>
          <w:tcPr>
            <w:tcW w:type="dxa" w:w="821"/>
          </w:tcPr>
          <w:p>
            <w:pPr>
              <w:pStyle w:val="null3"/>
              <w:jc w:val="center"/>
            </w:pPr>
            <w:r>
              <w:rPr/>
              <w:t>是否涉及采购进口产品</w:t>
            </w:r>
          </w:p>
        </w:tc>
        <w:tc>
          <w:tcPr>
            <w:tcW w:type="dxa" w:w="821"/>
          </w:tcPr>
          <w:p>
            <w:pPr>
              <w:pStyle w:val="null3"/>
              <w:jc w:val="center"/>
            </w:pPr>
            <w:r>
              <w:rPr/>
              <w:t>是否涉及强制采购节能产品</w:t>
            </w:r>
          </w:p>
        </w:tc>
        <w:tc>
          <w:tcPr>
            <w:tcW w:type="dxa" w:w="639"/>
          </w:tcPr>
          <w:p>
            <w:pPr>
              <w:pStyle w:val="null3"/>
              <w:jc w:val="center"/>
            </w:pPr>
            <w:r>
              <w:rPr/>
              <w:t>是否涉及优先采购节能产品</w:t>
            </w:r>
          </w:p>
        </w:tc>
        <w:tc>
          <w:tcPr>
            <w:tcW w:type="dxa" w:w="639"/>
          </w:tcPr>
          <w:p>
            <w:pPr>
              <w:pStyle w:val="null3"/>
              <w:jc w:val="center"/>
            </w:pPr>
            <w:r>
              <w:rPr/>
              <w:t>是否涉及优先采购环境标志产品</w:t>
            </w:r>
          </w:p>
        </w:tc>
      </w:tr>
      <w:tr>
        <w:tc>
          <w:tcPr>
            <w:tcW w:type="dxa" w:w="456"/>
          </w:tcPr>
          <w:p>
            <w:pPr>
              <w:pStyle w:val="null3"/>
              <w:jc w:val="left"/>
            </w:pPr>
            <w:r>
              <w:rPr/>
              <w:t>1</w:t>
            </w:r>
          </w:p>
        </w:tc>
        <w:tc>
          <w:tcPr>
            <w:tcW w:type="dxa" w:w="821"/>
          </w:tcPr>
          <w:p>
            <w:pPr>
              <w:pStyle w:val="null3"/>
              <w:jc w:val="left"/>
            </w:pPr>
            <w:r>
              <w:rPr/>
              <w:t>无线电反制设备</w:t>
            </w:r>
          </w:p>
        </w:tc>
        <w:tc>
          <w:tcPr>
            <w:tcW w:type="dxa" w:w="821"/>
          </w:tcPr>
          <w:p>
            <w:pPr>
              <w:pStyle w:val="null3"/>
              <w:jc w:val="left"/>
            </w:pPr>
            <w:r>
              <w:rPr/>
              <w:t>无人机侦测设备（含系统软件指控平台）</w:t>
            </w:r>
          </w:p>
        </w:tc>
        <w:tc>
          <w:tcPr>
            <w:tcW w:type="dxa" w:w="821"/>
          </w:tcPr>
          <w:p>
            <w:pPr>
              <w:pStyle w:val="null3"/>
              <w:jc w:val="right"/>
            </w:pPr>
            <w:r>
              <w:rPr/>
              <w:t>1.00（套）</w:t>
            </w:r>
          </w:p>
        </w:tc>
        <w:tc>
          <w:tcPr>
            <w:tcW w:type="dxa" w:w="821"/>
          </w:tcPr>
          <w:p>
            <w:pPr>
              <w:pStyle w:val="null3"/>
              <w:jc w:val="right"/>
            </w:pPr>
            <w:r>
              <w:rPr/>
              <w:t>450,000.00</w:t>
            </w:r>
          </w:p>
        </w:tc>
        <w:tc>
          <w:tcPr>
            <w:tcW w:type="dxa" w:w="821"/>
          </w:tcPr>
          <w:p>
            <w:pPr>
              <w:pStyle w:val="null3"/>
              <w:jc w:val="left"/>
            </w:pPr>
            <w:r>
              <w:rPr/>
              <w:t>工业</w:t>
            </w:r>
          </w:p>
        </w:tc>
        <w:tc>
          <w:tcPr>
            <w:tcW w:type="dxa" w:w="821"/>
          </w:tcPr>
          <w:p>
            <w:pPr>
              <w:pStyle w:val="null3"/>
              <w:jc w:val="left"/>
            </w:pPr>
            <w:r>
              <w:rPr/>
              <w:t>是</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r>
        <w:tc>
          <w:tcPr>
            <w:tcW w:type="dxa" w:w="456"/>
          </w:tcPr>
          <w:p>
            <w:pPr>
              <w:pStyle w:val="null3"/>
              <w:jc w:val="left"/>
            </w:pPr>
            <w:r>
              <w:rPr/>
              <w:t>2</w:t>
            </w:r>
          </w:p>
        </w:tc>
        <w:tc>
          <w:tcPr>
            <w:tcW w:type="dxa" w:w="821"/>
          </w:tcPr>
          <w:p>
            <w:pPr>
              <w:pStyle w:val="null3"/>
              <w:jc w:val="left"/>
            </w:pPr>
            <w:r>
              <w:rPr/>
              <w:t>其他金属加工设备</w:t>
            </w:r>
          </w:p>
        </w:tc>
        <w:tc>
          <w:tcPr>
            <w:tcW w:type="dxa" w:w="821"/>
          </w:tcPr>
          <w:p>
            <w:pPr>
              <w:pStyle w:val="null3"/>
              <w:jc w:val="left"/>
            </w:pPr>
            <w:r>
              <w:rPr/>
              <w:t>角反射器</w:t>
            </w:r>
          </w:p>
        </w:tc>
        <w:tc>
          <w:tcPr>
            <w:tcW w:type="dxa" w:w="821"/>
          </w:tcPr>
          <w:p>
            <w:pPr>
              <w:pStyle w:val="null3"/>
              <w:jc w:val="right"/>
            </w:pPr>
            <w:r>
              <w:rPr/>
              <w:t>250.00（个）</w:t>
            </w:r>
          </w:p>
        </w:tc>
        <w:tc>
          <w:tcPr>
            <w:tcW w:type="dxa" w:w="821"/>
          </w:tcPr>
          <w:p>
            <w:pPr>
              <w:pStyle w:val="null3"/>
              <w:jc w:val="right"/>
            </w:pPr>
            <w:r>
              <w:rPr/>
              <w:t>50,000.00</w:t>
            </w:r>
          </w:p>
        </w:tc>
        <w:tc>
          <w:tcPr>
            <w:tcW w:type="dxa" w:w="821"/>
          </w:tcPr>
          <w:p>
            <w:pPr>
              <w:pStyle w:val="null3"/>
              <w:jc w:val="left"/>
            </w:pPr>
            <w:r>
              <w:rPr/>
              <w:t>工业</w:t>
            </w:r>
          </w:p>
        </w:tc>
        <w:tc>
          <w:tcPr>
            <w:tcW w:type="dxa" w:w="821"/>
          </w:tcPr>
          <w:p>
            <w:pPr>
              <w:pStyle w:val="null3"/>
              <w:jc w:val="left"/>
            </w:pPr>
            <w:r>
              <w:rPr/>
              <w:t>否</w:t>
            </w:r>
          </w:p>
        </w:tc>
        <w:tc>
          <w:tcPr>
            <w:tcW w:type="dxa" w:w="821"/>
          </w:tcPr>
          <w:p>
            <w:pPr>
              <w:pStyle w:val="null3"/>
              <w:jc w:val="left"/>
            </w:pPr>
            <w:r>
              <w:rPr/>
              <w:t>否</w:t>
            </w:r>
          </w:p>
        </w:tc>
        <w:tc>
          <w:tcPr>
            <w:tcW w:type="dxa" w:w="821"/>
          </w:tcPr>
          <w:p>
            <w:pPr>
              <w:pStyle w:val="null3"/>
              <w:jc w:val="left"/>
            </w:pPr>
            <w:r>
              <w:rPr/>
              <w:t>否</w:t>
            </w:r>
          </w:p>
        </w:tc>
        <w:tc>
          <w:tcPr>
            <w:tcW w:type="dxa" w:w="639"/>
          </w:tcPr>
          <w:p>
            <w:pPr>
              <w:pStyle w:val="null3"/>
              <w:jc w:val="left"/>
            </w:pPr>
            <w:r>
              <w:rPr/>
              <w:t>否</w:t>
            </w:r>
          </w:p>
        </w:tc>
        <w:tc>
          <w:tcPr>
            <w:tcW w:type="dxa" w:w="639"/>
          </w:tcPr>
          <w:p>
            <w:pPr>
              <w:pStyle w:val="null3"/>
              <w:jc w:val="left"/>
            </w:pPr>
            <w:r>
              <w:rPr/>
              <w:t>否</w:t>
            </w:r>
          </w:p>
        </w:tc>
      </w:tr>
    </w:tbl>
    <w:p>
      <w:pPr>
        <w:pStyle w:val="null3"/>
        <w:ind w:firstLine="480"/>
        <w:jc w:val="left"/>
        <w:outlineLvl w:val="3"/>
      </w:pPr>
      <w:r>
        <w:rPr>
          <w:b/>
          <w:sz w:val="24"/>
        </w:rPr>
        <w:t>报价要求</w:t>
      </w:r>
    </w:p>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879"/>
        <w:gridCol w:w="1466"/>
        <w:gridCol w:w="977"/>
        <w:gridCol w:w="1173"/>
        <w:gridCol w:w="1173"/>
        <w:gridCol w:w="977"/>
        <w:gridCol w:w="1661"/>
      </w:tblGrid>
      <w:tr>
        <w:tc>
          <w:tcPr>
            <w:tcW w:type="dxa" w:w="879"/>
          </w:tcPr>
          <w:p>
            <w:pPr>
              <w:pStyle w:val="null3"/>
              <w:jc w:val="center"/>
            </w:pPr>
            <w:r>
              <w:rPr/>
              <w:t>序号</w:t>
            </w:r>
          </w:p>
        </w:tc>
        <w:tc>
          <w:tcPr>
            <w:tcW w:type="dxa" w:w="1466"/>
          </w:tcPr>
          <w:p>
            <w:pPr>
              <w:pStyle w:val="null3"/>
              <w:jc w:val="center"/>
            </w:pPr>
            <w:r>
              <w:rPr/>
              <w:t>报价内容</w:t>
            </w:r>
          </w:p>
        </w:tc>
        <w:tc>
          <w:tcPr>
            <w:tcW w:type="dxa" w:w="977"/>
          </w:tcPr>
          <w:p>
            <w:pPr>
              <w:pStyle w:val="null3"/>
              <w:jc w:val="center"/>
            </w:pPr>
            <w:r>
              <w:rPr/>
              <w:t>数量</w:t>
            </w:r>
          </w:p>
        </w:tc>
        <w:tc>
          <w:tcPr>
            <w:tcW w:type="dxa" w:w="1173"/>
          </w:tcPr>
          <w:p>
            <w:pPr>
              <w:pStyle w:val="null3"/>
              <w:jc w:val="center"/>
            </w:pPr>
            <w:r>
              <w:rPr/>
              <w:t>单价</w:t>
            </w:r>
          </w:p>
        </w:tc>
        <w:tc>
          <w:tcPr>
            <w:tcW w:type="dxa" w:w="1173"/>
          </w:tcPr>
          <w:p>
            <w:pPr>
              <w:pStyle w:val="null3"/>
              <w:jc w:val="center"/>
            </w:pPr>
            <w:r>
              <w:rPr/>
              <w:t>最高限价</w:t>
            </w:r>
          </w:p>
        </w:tc>
        <w:tc>
          <w:tcPr>
            <w:tcW w:type="dxa" w:w="977"/>
          </w:tcPr>
          <w:p>
            <w:pPr>
              <w:pStyle w:val="null3"/>
              <w:jc w:val="center"/>
            </w:pPr>
            <w:r>
              <w:rPr/>
              <w:t>价款形式</w:t>
            </w:r>
          </w:p>
        </w:tc>
        <w:tc>
          <w:tcPr>
            <w:tcW w:type="dxa" w:w="1661"/>
          </w:tcPr>
          <w:p>
            <w:pPr>
              <w:pStyle w:val="null3"/>
              <w:jc w:val="center"/>
            </w:pPr>
            <w:r>
              <w:rPr/>
              <w:t>报价说明</w:t>
            </w:r>
          </w:p>
        </w:tc>
      </w:tr>
      <w:tr>
        <w:tc>
          <w:tcPr>
            <w:tcW w:type="dxa" w:w="879"/>
          </w:tcPr>
          <w:p>
            <w:pPr>
              <w:pStyle w:val="null3"/>
              <w:jc w:val="left"/>
            </w:pPr>
            <w:r>
              <w:rPr/>
              <w:t>1</w:t>
            </w:r>
          </w:p>
        </w:tc>
        <w:tc>
          <w:tcPr>
            <w:tcW w:type="dxa" w:w="1466"/>
          </w:tcPr>
          <w:p>
            <w:pPr>
              <w:pStyle w:val="null3"/>
              <w:jc w:val="left"/>
            </w:pPr>
            <w:r>
              <w:rPr/>
              <w:t>无人机侦测设备（含系统软件指控平台）</w:t>
            </w:r>
          </w:p>
        </w:tc>
        <w:tc>
          <w:tcPr>
            <w:tcW w:type="dxa" w:w="977"/>
          </w:tcPr>
          <w:p>
            <w:pPr>
              <w:pStyle w:val="null3"/>
              <w:jc w:val="right"/>
            </w:pPr>
            <w:r>
              <w:rPr/>
              <w:t>/</w:t>
            </w:r>
          </w:p>
        </w:tc>
        <w:tc>
          <w:tcPr>
            <w:tcW w:type="dxa" w:w="1173"/>
          </w:tcPr>
          <w:p>
            <w:pPr>
              <w:pStyle w:val="null3"/>
              <w:jc w:val="right"/>
            </w:pPr>
            <w:r>
              <w:rPr/>
              <w:t>0.00（元）</w:t>
            </w:r>
          </w:p>
        </w:tc>
        <w:tc>
          <w:tcPr>
            <w:tcW w:type="dxa" w:w="1173"/>
          </w:tcPr>
          <w:p>
            <w:pPr>
              <w:pStyle w:val="null3"/>
              <w:jc w:val="right"/>
            </w:pPr>
            <w:r>
              <w:rPr/>
              <w:t>450,000.00</w:t>
            </w:r>
          </w:p>
        </w:tc>
        <w:tc>
          <w:tcPr>
            <w:tcW w:type="dxa" w:w="977"/>
          </w:tcPr>
          <w:p>
            <w:pPr>
              <w:pStyle w:val="null3"/>
              <w:jc w:val="left"/>
            </w:pPr>
            <w:r>
              <w:rPr/>
              <w:t>总价</w:t>
            </w:r>
          </w:p>
        </w:tc>
        <w:tc>
          <w:tcPr>
            <w:tcW w:type="dxa" w:w="1661"/>
          </w:tcPr>
          <w:p>
            <w:pPr>
              <w:pStyle w:val="null3"/>
              <w:jc w:val="left"/>
            </w:pPr>
            <w:r>
              <w:rPr/>
              <w:t>无</w:t>
            </w:r>
          </w:p>
        </w:tc>
      </w:tr>
      <w:tr>
        <w:tc>
          <w:tcPr>
            <w:tcW w:type="dxa" w:w="879"/>
          </w:tcPr>
          <w:p>
            <w:pPr>
              <w:pStyle w:val="null3"/>
              <w:jc w:val="left"/>
            </w:pPr>
            <w:r>
              <w:rPr/>
              <w:t>2</w:t>
            </w:r>
          </w:p>
        </w:tc>
        <w:tc>
          <w:tcPr>
            <w:tcW w:type="dxa" w:w="1466"/>
          </w:tcPr>
          <w:p>
            <w:pPr>
              <w:pStyle w:val="null3"/>
              <w:jc w:val="left"/>
            </w:pPr>
            <w:r>
              <w:rPr/>
              <w:t>角反射器</w:t>
            </w:r>
          </w:p>
        </w:tc>
        <w:tc>
          <w:tcPr>
            <w:tcW w:type="dxa" w:w="977"/>
          </w:tcPr>
          <w:p>
            <w:pPr>
              <w:pStyle w:val="null3"/>
              <w:jc w:val="right"/>
            </w:pPr>
            <w:r>
              <w:rPr/>
              <w:t>/</w:t>
            </w:r>
          </w:p>
        </w:tc>
        <w:tc>
          <w:tcPr>
            <w:tcW w:type="dxa" w:w="1173"/>
          </w:tcPr>
          <w:p>
            <w:pPr>
              <w:pStyle w:val="null3"/>
              <w:jc w:val="right"/>
            </w:pPr>
            <w:r>
              <w:rPr/>
              <w:t>0.00（元）</w:t>
            </w:r>
          </w:p>
        </w:tc>
        <w:tc>
          <w:tcPr>
            <w:tcW w:type="dxa" w:w="1173"/>
          </w:tcPr>
          <w:p>
            <w:pPr>
              <w:pStyle w:val="null3"/>
              <w:jc w:val="right"/>
            </w:pPr>
            <w:r>
              <w:rPr/>
              <w:t>50,000.00</w:t>
            </w:r>
          </w:p>
        </w:tc>
        <w:tc>
          <w:tcPr>
            <w:tcW w:type="dxa" w:w="977"/>
          </w:tcPr>
          <w:p>
            <w:pPr>
              <w:pStyle w:val="null3"/>
              <w:jc w:val="left"/>
            </w:pPr>
            <w:r>
              <w:rPr/>
              <w:t>总价</w:t>
            </w:r>
          </w:p>
        </w:tc>
        <w:tc>
          <w:tcPr>
            <w:tcW w:type="dxa" w:w="1661"/>
          </w:tcPr>
          <w:p>
            <w:pPr>
              <w:pStyle w:val="null3"/>
              <w:jc w:val="left"/>
            </w:pPr>
            <w:r>
              <w:rPr/>
              <w:t>无</w:t>
            </w:r>
          </w:p>
        </w:tc>
      </w:tr>
    </w:tbl>
    <w:p>
      <w:pPr>
        <w:pStyle w:val="null3"/>
        <w:ind w:firstLine="480"/>
        <w:jc w:val="left"/>
      </w:pPr>
      <w:r>
        <w:rPr/>
        <w:t>★注：供应商响应产品应当明确品牌和规格型号并指向唯一产品，不能指向唯一产品的，应通过报价表备注栏补充说明。</w:t>
      </w:r>
    </w:p>
    <w:p>
      <w:pPr>
        <w:pStyle w:val="null3"/>
        <w:ind w:firstLine="480"/>
        <w:jc w:val="left"/>
        <w:outlineLvl w:val="3"/>
      </w:pPr>
      <w:r>
        <w:rPr>
          <w:b/>
          <w:sz w:val="24"/>
        </w:rPr>
        <w:t>本项目涉及核心产品：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1"/>
          </w:tcPr>
          <w:p>
            <w:pPr>
              <w:pStyle w:val="null3"/>
              <w:jc w:val="left"/>
            </w:pPr>
            <w:r>
              <w:rPr/>
              <w:t>1</w:t>
            </w:r>
          </w:p>
        </w:tc>
        <w:tc>
          <w:tcPr>
            <w:tcW w:type="dxa" w:w="2492"/>
          </w:tcPr>
          <w:p>
            <w:pPr>
              <w:pStyle w:val="null3"/>
              <w:jc w:val="left"/>
            </w:pPr>
            <w:r>
              <w:rPr/>
              <w:t>无线电反制设备</w:t>
            </w:r>
          </w:p>
        </w:tc>
        <w:tc>
          <w:tcPr>
            <w:tcW w:type="dxa" w:w="2492"/>
          </w:tcPr>
          <w:p>
            <w:pPr>
              <w:pStyle w:val="null3"/>
              <w:jc w:val="left"/>
            </w:pPr>
            <w:r>
              <w:rPr/>
              <w:t>无人机侦测设备（含系统软件指控平台）</w:t>
            </w:r>
          </w:p>
        </w:tc>
        <w:tc>
          <w:tcPr>
            <w:tcW w:type="dxa" w:w="2492"/>
          </w:tcPr>
          <w:p>
            <w:pPr>
              <w:pStyle w:val="null3"/>
              <w:jc w:val="left"/>
            </w:pPr>
            <w:r>
              <w:rPr/>
              <w:t>无人机侦测设备（含系统软件指控平台）</w:t>
            </w:r>
          </w:p>
        </w:tc>
      </w:tr>
    </w:tbl>
    <w:p>
      <w:pPr>
        <w:pStyle w:val="null3"/>
        <w:ind w:firstLine="480"/>
        <w:jc w:val="left"/>
      </w:pPr>
      <w:r>
        <w:rPr/>
        <w:t>注：涉及核心产品的，具体评审规定见第五章。</w:t>
      </w:r>
    </w:p>
    <w:p>
      <w:pPr>
        <w:pStyle w:val="null3"/>
        <w:ind w:firstLine="480"/>
        <w:jc w:val="left"/>
        <w:outlineLvl w:val="3"/>
      </w:pPr>
      <w:r>
        <w:rPr>
          <w:b/>
          <w:sz w:val="24"/>
        </w:rPr>
        <w:t>本项目涉及采购进口产品：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★注：不涉及采购进口产品时，供应商不得提供进口产品进行响应；涉及采购进口产品时，如国产产品满足采购需求，也可提供国产产品进行响应。</w:t>
      </w:r>
    </w:p>
    <w:p>
      <w:pPr>
        <w:pStyle w:val="null3"/>
        <w:ind w:firstLine="480"/>
        <w:jc w:val="left"/>
        <w:outlineLvl w:val="3"/>
      </w:pPr>
      <w:r>
        <w:rPr>
          <w:b/>
          <w:sz w:val="24"/>
        </w:rPr>
        <w:t>本项目涉及强制采购节能产品：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ind w:firstLine="480"/>
        <w:jc w:val="left"/>
      </w:pPr>
      <w:r>
        <w:rPr>
          <w:b/>
        </w:rPr>
        <w:t>本项目涉及优先采购节能产品：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ind w:firstLine="480"/>
        <w:jc w:val="left"/>
        <w:outlineLvl w:val="3"/>
      </w:pPr>
      <w:r>
        <w:rPr>
          <w:b/>
          <w:sz w:val="24"/>
        </w:rPr>
        <w:t>本项目涉及优先采购环境标志产品：</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t>序号</w:t>
            </w:r>
          </w:p>
        </w:tc>
        <w:tc>
          <w:tcPr>
            <w:tcW w:type="dxa" w:w="2492"/>
          </w:tcPr>
          <w:p>
            <w:pPr>
              <w:pStyle w:val="null3"/>
              <w:jc w:val="center"/>
            </w:pPr>
            <w:r>
              <w:rPr/>
              <w:t>采购品目名称</w:t>
            </w:r>
          </w:p>
        </w:tc>
        <w:tc>
          <w:tcPr>
            <w:tcW w:type="dxa" w:w="2492"/>
          </w:tcPr>
          <w:p>
            <w:pPr>
              <w:pStyle w:val="null3"/>
              <w:jc w:val="center"/>
            </w:pPr>
            <w:r>
              <w:rPr/>
              <w:t>标的名称</w:t>
            </w:r>
          </w:p>
        </w:tc>
        <w:tc>
          <w:tcPr>
            <w:tcW w:type="dxa" w:w="2492"/>
          </w:tcPr>
          <w:p>
            <w:pPr>
              <w:pStyle w:val="null3"/>
              <w:jc w:val="center"/>
            </w:pPr>
            <w:r>
              <w:rPr/>
              <w:t>产品名称</w:t>
            </w:r>
          </w:p>
        </w:tc>
      </w:tr>
      <w:tr>
        <w:tc>
          <w:tcPr>
            <w:tcW w:type="dxa" w:w="8307"/>
            <w:gridSpan w:val="4"/>
          </w:tcPr>
          <w:p>
            <w:pPr>
              <w:pStyle w:val="null3"/>
              <w:jc w:val="center"/>
            </w:pPr>
            <w:r>
              <w:rPr/>
              <w:t>不涉及</w:t>
            </w:r>
          </w:p>
        </w:tc>
      </w:tr>
    </w:tbl>
    <w:p>
      <w:pPr>
        <w:pStyle w:val="null3"/>
        <w:ind w:firstLine="480"/>
        <w:jc w:val="left"/>
      </w:pPr>
      <w:r>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b/>
          <w:sz w:val="28"/>
        </w:rPr>
        <w:t>3.3.技术要求</w:t>
      </w:r>
    </w:p>
    <w:p>
      <w:pPr>
        <w:pStyle w:val="null3"/>
        <w:jc w:val="left"/>
      </w:pPr>
      <w:r>
        <w:rPr/>
        <w:t>采购包1：</w:t>
      </w:r>
    </w:p>
    <w:p>
      <w:pPr>
        <w:pStyle w:val="null3"/>
        <w:jc w:val="left"/>
      </w:pPr>
      <w:r>
        <w:rPr/>
        <w:t>标的名称：无人机侦测设备（含系统软件指控平台）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09"/>
              <w:gridCol w:w="346"/>
              <w:gridCol w:w="1998"/>
            </w:tblGrid>
            <w:tr>
              <w:tc>
                <w:tcPr>
                  <w:tcW w:type="dxa" w:w="2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left"/>
                  </w:pPr>
                  <w:r>
                    <w:rPr>
                      <w:rFonts w:ascii="宋体" w:hAnsi="宋体" w:cs="宋体" w:eastAsia="宋体"/>
                      <w:sz w:val="28"/>
                    </w:rPr>
                    <w:t>序号</w:t>
                  </w:r>
                </w:p>
              </w:tc>
              <w:tc>
                <w:tcPr>
                  <w:tcW w:type="dxa" w:w="346"/>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420"/>
                    <w:jc w:val="left"/>
                  </w:pPr>
                  <w:r>
                    <w:rPr>
                      <w:rFonts w:ascii="宋体" w:hAnsi="宋体" w:cs="宋体" w:eastAsia="宋体"/>
                      <w:sz w:val="28"/>
                    </w:rPr>
                    <w:t>标的名称</w:t>
                  </w:r>
                </w:p>
              </w:tc>
              <w:tc>
                <w:tcPr>
                  <w:tcW w:type="dxa" w:w="1998"/>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ind w:left="3000"/>
                    <w:jc w:val="left"/>
                  </w:pPr>
                  <w:r>
                    <w:rPr>
                      <w:rFonts w:ascii="宋体" w:hAnsi="宋体" w:cs="宋体" w:eastAsia="宋体"/>
                      <w:sz w:val="28"/>
                    </w:rPr>
                    <w:t>技术</w:t>
                  </w:r>
                  <w:r>
                    <w:rPr>
                      <w:rFonts w:ascii="宋体" w:hAnsi="宋体" w:cs="宋体" w:eastAsia="宋体"/>
                      <w:sz w:val="28"/>
                    </w:rPr>
                    <w:t>参数</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宋体" w:hAnsi="宋体" w:cs="宋体" w:eastAsia="宋体"/>
                      <w:sz w:val="28"/>
                    </w:rPr>
                    <w:t>1</w:t>
                  </w:r>
                </w:p>
              </w:tc>
              <w:tc>
                <w:tcPr>
                  <w:tcW w:type="dxa" w:w="3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宋体" w:hAnsi="宋体" w:cs="宋体" w:eastAsia="宋体"/>
                      <w:sz w:val="28"/>
                    </w:rPr>
                    <w:t>无人机侦测设备（含系统软件指控平台）</w:t>
                  </w:r>
                </w:p>
              </w:tc>
              <w:tc>
                <w:tcPr>
                  <w:tcW w:type="dxa" w:w="19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20"/>
                    <w:jc w:val="left"/>
                  </w:pPr>
                  <w:r>
                    <w:rPr>
                      <w:rFonts w:ascii="宋体" w:hAnsi="宋体" w:cs="宋体" w:eastAsia="宋体"/>
                      <w:sz w:val="28"/>
                    </w:rPr>
                    <w:t>全向频谱侦测器：</w:t>
                  </w:r>
                </w:p>
                <w:p>
                  <w:pPr>
                    <w:pStyle w:val="null3"/>
                    <w:spacing w:before="45"/>
                    <w:ind w:left="120"/>
                    <w:jc w:val="left"/>
                  </w:pPr>
                  <w:r>
                    <w:rPr>
                      <w:rFonts w:ascii="宋体" w:hAnsi="宋体" w:cs="宋体" w:eastAsia="宋体"/>
                      <w:sz w:val="28"/>
                    </w:rPr>
                    <w:t>●1.一体式结构设计，无外接功能模块；</w:t>
                  </w:r>
                </w:p>
                <w:p>
                  <w:pPr>
                    <w:pStyle w:val="null3"/>
                    <w:spacing w:before="45"/>
                    <w:ind w:left="120"/>
                    <w:jc w:val="left"/>
                  </w:pPr>
                  <w:r>
                    <w:rPr>
                      <w:rFonts w:ascii="宋体" w:hAnsi="宋体" w:cs="宋体" w:eastAsia="宋体"/>
                      <w:sz w:val="28"/>
                    </w:rPr>
                    <w:t>▲2.阵列天线数量： ≥12 个；（提供具有 CMA 和 CNAS 标志的产品检测报告复印件并加盖投标人公章证明）</w:t>
                  </w:r>
                </w:p>
                <w:p>
                  <w:pPr>
                    <w:pStyle w:val="null3"/>
                    <w:spacing w:before="45"/>
                    <w:ind w:left="120"/>
                    <w:jc w:val="left"/>
                  </w:pPr>
                  <w:r>
                    <w:rPr>
                      <w:rFonts w:ascii="宋体" w:hAnsi="宋体" w:cs="宋体" w:eastAsia="宋体"/>
                      <w:sz w:val="28"/>
                    </w:rPr>
                    <w:t>▲3.探测频段：70MHz～6GHz；（提供具有 CMA 和 CNAS 标志的产品检测报告复印件并加盖投标人公章证明）</w:t>
                  </w:r>
                </w:p>
                <w:p>
                  <w:pPr>
                    <w:pStyle w:val="null3"/>
                    <w:spacing w:before="45"/>
                    <w:ind w:left="120"/>
                    <w:jc w:val="left"/>
                  </w:pPr>
                  <w:r>
                    <w:rPr>
                      <w:rFonts w:ascii="宋体" w:hAnsi="宋体" w:cs="宋体" w:eastAsia="宋体"/>
                      <w:sz w:val="28"/>
                    </w:rPr>
                    <w:t>★4.</w:t>
                  </w:r>
                  <w:r>
                    <w:rPr>
                      <w:rFonts w:ascii="宋体" w:hAnsi="宋体" w:cs="宋体" w:eastAsia="宋体"/>
                      <w:sz w:val="28"/>
                    </w:rPr>
                    <w:t>定位</w:t>
                  </w:r>
                  <w:r>
                    <w:rPr>
                      <w:rFonts w:ascii="宋体" w:hAnsi="宋体" w:cs="宋体" w:eastAsia="宋体"/>
                      <w:sz w:val="28"/>
                    </w:rPr>
                    <w:t>精度： ≤3m；</w:t>
                  </w:r>
                </w:p>
                <w:p>
                  <w:pPr>
                    <w:pStyle w:val="null3"/>
                    <w:spacing w:before="45"/>
                    <w:ind w:left="120"/>
                    <w:jc w:val="left"/>
                  </w:pPr>
                  <w:r>
                    <w:rPr>
                      <w:rFonts w:ascii="宋体" w:hAnsi="宋体" w:cs="宋体" w:eastAsia="宋体"/>
                      <w:sz w:val="28"/>
                    </w:rPr>
                    <w:t>▲5.探测距离： ≥5km；（提供具有 CMA 和 CNAS 标志的产品检 测报告复印件并加盖投标人公章证明）</w:t>
                  </w:r>
                </w:p>
                <w:p>
                  <w:pPr>
                    <w:pStyle w:val="null3"/>
                    <w:spacing w:before="45"/>
                    <w:ind w:left="120"/>
                    <w:jc w:val="left"/>
                  </w:pPr>
                  <w:r>
                    <w:rPr>
                      <w:rFonts w:ascii="宋体" w:hAnsi="宋体" w:cs="宋体" w:eastAsia="宋体"/>
                      <w:sz w:val="28"/>
                    </w:rPr>
                    <w:t>●</w:t>
                  </w:r>
                  <w:r>
                    <w:rPr>
                      <w:rFonts w:ascii="宋体" w:hAnsi="宋体" w:cs="宋体" w:eastAsia="宋体"/>
                      <w:sz w:val="28"/>
                    </w:rPr>
                    <w:t>6.</w:t>
                  </w:r>
                  <w:r>
                    <w:rPr>
                      <w:rFonts w:ascii="宋体" w:hAnsi="宋体" w:cs="宋体" w:eastAsia="宋体"/>
                      <w:sz w:val="28"/>
                    </w:rPr>
                    <w:t>探测角度：水平：360 ° , 俯仰：不小于-75 °~+90 ° ;</w:t>
                  </w:r>
                </w:p>
                <w:p>
                  <w:pPr>
                    <w:pStyle w:val="null3"/>
                    <w:spacing w:before="45"/>
                    <w:ind w:left="120"/>
                    <w:jc w:val="left"/>
                  </w:pPr>
                  <w:r>
                    <w:rPr>
                      <w:rFonts w:ascii="宋体" w:hAnsi="宋体" w:cs="宋体" w:eastAsia="宋体"/>
                      <w:sz w:val="28"/>
                    </w:rPr>
                    <w:t>●7.探测成功率： ≥95%；</w:t>
                  </w:r>
                </w:p>
                <w:p>
                  <w:pPr>
                    <w:pStyle w:val="null3"/>
                    <w:spacing w:before="45"/>
                    <w:ind w:left="120"/>
                    <w:jc w:val="left"/>
                  </w:pPr>
                  <w:r>
                    <w:rPr>
                      <w:rFonts w:ascii="宋体" w:hAnsi="宋体" w:cs="宋体" w:eastAsia="宋体"/>
                      <w:sz w:val="28"/>
                    </w:rPr>
                    <w:t>●8. 自动校准方向无需手工校准，指北精度应≤3 ° ;</w:t>
                  </w:r>
                </w:p>
                <w:p>
                  <w:pPr>
                    <w:pStyle w:val="null3"/>
                    <w:spacing w:before="45"/>
                    <w:ind w:left="120"/>
                    <w:jc w:val="left"/>
                  </w:pPr>
                  <w:r>
                    <w:rPr>
                      <w:rFonts w:ascii="宋体" w:hAnsi="宋体" w:cs="宋体" w:eastAsia="宋体"/>
                      <w:sz w:val="28"/>
                    </w:rPr>
                    <w:t>●9. 白名单功能，可实现敌我识别；</w:t>
                  </w:r>
                </w:p>
                <w:p>
                  <w:pPr>
                    <w:pStyle w:val="null3"/>
                    <w:spacing w:before="45"/>
                    <w:ind w:left="120"/>
                    <w:jc w:val="left"/>
                  </w:pPr>
                  <w:r>
                    <w:rPr>
                      <w:rFonts w:ascii="宋体" w:hAnsi="宋体" w:cs="宋体" w:eastAsia="宋体"/>
                      <w:sz w:val="28"/>
                    </w:rPr>
                    <w:t>●10.设备具备交叉定位功能，多套设备可组网定位无人机位置；</w:t>
                  </w:r>
                </w:p>
                <w:p>
                  <w:pPr>
                    <w:pStyle w:val="null3"/>
                    <w:spacing w:before="45"/>
                    <w:ind w:left="120"/>
                    <w:jc w:val="left"/>
                  </w:pPr>
                  <w:r>
                    <w:rPr>
                      <w:rFonts w:ascii="宋体" w:hAnsi="宋体" w:cs="宋体" w:eastAsia="宋体"/>
                      <w:sz w:val="28"/>
                    </w:rPr>
                    <w:t>●11.供电方式：AC110～220V 或直流供电。</w:t>
                  </w:r>
                </w:p>
                <w:p>
                  <w:pPr>
                    <w:pStyle w:val="null3"/>
                    <w:spacing w:before="45"/>
                    <w:ind w:left="120"/>
                    <w:jc w:val="left"/>
                  </w:pPr>
                  <w:r>
                    <w:rPr>
                      <w:rFonts w:ascii="宋体" w:hAnsi="宋体" w:cs="宋体" w:eastAsia="宋体"/>
                      <w:sz w:val="28"/>
                    </w:rPr>
                    <w:t>●</w:t>
                  </w:r>
                  <w:r>
                    <w:rPr>
                      <w:rFonts w:ascii="宋体" w:hAnsi="宋体" w:cs="宋体" w:eastAsia="宋体"/>
                      <w:sz w:val="28"/>
                    </w:rPr>
                    <w:t>12.</w:t>
                  </w:r>
                  <w:r>
                    <w:rPr>
                      <w:rFonts w:ascii="宋体" w:hAnsi="宋体" w:cs="宋体" w:eastAsia="宋体"/>
                      <w:sz w:val="28"/>
                    </w:rPr>
                    <w:t>产品应采用TDOA+AOA+协议解析复合无源定位技术；</w:t>
                  </w:r>
                </w:p>
                <w:p>
                  <w:pPr>
                    <w:pStyle w:val="null3"/>
                    <w:spacing w:before="45"/>
                    <w:ind w:left="120"/>
                    <w:jc w:val="left"/>
                  </w:pPr>
                  <w:r>
                    <w:rPr>
                      <w:rFonts w:ascii="宋体" w:hAnsi="宋体" w:cs="宋体" w:eastAsia="宋体"/>
                      <w:sz w:val="28"/>
                    </w:rPr>
                    <w:t>系统软件指控平台</w:t>
                  </w:r>
                </w:p>
                <w:p>
                  <w:pPr>
                    <w:pStyle w:val="null3"/>
                    <w:spacing w:before="45"/>
                    <w:ind w:left="120"/>
                    <w:jc w:val="left"/>
                  </w:pPr>
                  <w:r>
                    <w:rPr>
                      <w:rFonts w:ascii="宋体" w:hAnsi="宋体" w:cs="宋体" w:eastAsia="宋体"/>
                      <w:sz w:val="28"/>
                    </w:rPr>
                    <w:t>●1</w:t>
                  </w:r>
                  <w:r>
                    <w:rPr>
                      <w:rFonts w:ascii="宋体" w:hAnsi="宋体" w:cs="宋体" w:eastAsia="宋体"/>
                      <w:sz w:val="28"/>
                    </w:rPr>
                    <w:t>.</w:t>
                  </w:r>
                  <w:r>
                    <w:rPr>
                      <w:rFonts w:ascii="宋体" w:hAnsi="宋体" w:cs="宋体" w:eastAsia="宋体"/>
                      <w:sz w:val="28"/>
                    </w:rPr>
                    <w:t>支持无人机的数据记录与回放功能；</w:t>
                  </w:r>
                </w:p>
                <w:p>
                  <w:pPr>
                    <w:pStyle w:val="null3"/>
                    <w:spacing w:before="45"/>
                    <w:ind w:left="120"/>
                    <w:jc w:val="left"/>
                  </w:pPr>
                  <w:r>
                    <w:rPr>
                      <w:rFonts w:ascii="宋体" w:hAnsi="宋体" w:cs="宋体" w:eastAsia="宋体"/>
                      <w:sz w:val="28"/>
                    </w:rPr>
                    <w:t>●2</w:t>
                  </w:r>
                  <w:r>
                    <w:rPr>
                      <w:rFonts w:ascii="宋体" w:hAnsi="宋体" w:cs="宋体" w:eastAsia="宋体"/>
                      <w:sz w:val="28"/>
                    </w:rPr>
                    <w:t>.</w:t>
                  </w:r>
                  <w:r>
                    <w:rPr>
                      <w:rFonts w:ascii="宋体" w:hAnsi="宋体" w:cs="宋体" w:eastAsia="宋体"/>
                      <w:sz w:val="28"/>
                    </w:rPr>
                    <w:t>具备报警</w:t>
                  </w:r>
                  <w:r>
                    <w:rPr>
                      <w:rFonts w:ascii="宋体" w:hAnsi="宋体" w:cs="宋体" w:eastAsia="宋体"/>
                      <w:sz w:val="28"/>
                    </w:rPr>
                    <w:t>提示</w:t>
                  </w:r>
                  <w:r>
                    <w:rPr>
                      <w:rFonts w:ascii="宋体" w:hAnsi="宋体" w:cs="宋体" w:eastAsia="宋体"/>
                      <w:sz w:val="28"/>
                    </w:rPr>
                    <w:t>功能；</w:t>
                  </w:r>
                </w:p>
                <w:p>
                  <w:pPr>
                    <w:pStyle w:val="null3"/>
                    <w:spacing w:before="45"/>
                    <w:ind w:left="120"/>
                    <w:jc w:val="left"/>
                  </w:pPr>
                  <w:r>
                    <w:rPr>
                      <w:rFonts w:ascii="宋体" w:hAnsi="宋体" w:cs="宋体" w:eastAsia="宋体"/>
                      <w:sz w:val="28"/>
                    </w:rPr>
                    <w:t>●3</w:t>
                  </w:r>
                  <w:r>
                    <w:rPr>
                      <w:rFonts w:ascii="宋体" w:hAnsi="宋体" w:cs="宋体" w:eastAsia="宋体"/>
                      <w:sz w:val="28"/>
                    </w:rPr>
                    <w:t>.</w:t>
                  </w:r>
                  <w:r>
                    <w:rPr>
                      <w:rFonts w:ascii="宋体" w:hAnsi="宋体" w:cs="宋体" w:eastAsia="宋体"/>
                      <w:sz w:val="28"/>
                    </w:rPr>
                    <w:t>卫星地图加载功能；</w:t>
                  </w:r>
                </w:p>
                <w:p>
                  <w:pPr>
                    <w:pStyle w:val="null3"/>
                    <w:jc w:val="left"/>
                  </w:pPr>
                  <w:r>
                    <w:rPr>
                      <w:rFonts w:ascii="宋体" w:hAnsi="宋体" w:cs="宋体" w:eastAsia="宋体"/>
                      <w:sz w:val="28"/>
                    </w:rPr>
                    <w:t>▲4</w:t>
                  </w:r>
                  <w:r>
                    <w:rPr>
                      <w:rFonts w:ascii="宋体" w:hAnsi="宋体" w:cs="宋体" w:eastAsia="宋体"/>
                      <w:sz w:val="28"/>
                    </w:rPr>
                    <w:t>.</w:t>
                  </w:r>
                  <w:r>
                    <w:rPr>
                      <w:rFonts w:ascii="宋体" w:hAnsi="宋体" w:cs="宋体" w:eastAsia="宋体"/>
                      <w:sz w:val="28"/>
                    </w:rPr>
                    <w:t>兼容其他安防系统,可提供如SDK或API协议等接口文件，可集成到统一安防平台；</w:t>
                  </w:r>
                  <w:r>
                    <w:rPr>
                      <w:rFonts w:ascii="宋体" w:hAnsi="宋体" w:cs="宋体" w:eastAsia="宋体"/>
                      <w:sz w:val="28"/>
                    </w:rPr>
                    <w:t>（</w:t>
                  </w:r>
                  <w:r>
                    <w:rPr>
                      <w:rFonts w:ascii="宋体" w:hAnsi="宋体" w:cs="宋体" w:eastAsia="宋体"/>
                      <w:sz w:val="28"/>
                    </w:rPr>
                    <w:t>提供具有</w:t>
                  </w:r>
                  <w:r>
                    <w:rPr>
                      <w:rFonts w:ascii="&quot;times new roman&quot;" w:hAnsi="&quot;times new roman&quot;" w:cs="&quot;times new roman&quot;" w:eastAsia="&quot;times new roman&quot;"/>
                      <w:sz w:val="32"/>
                    </w:rPr>
                    <w:t xml:space="preserve"> </w:t>
                  </w:r>
                  <w:r>
                    <w:rPr>
                      <w:rFonts w:ascii="宋体" w:hAnsi="宋体" w:cs="宋体" w:eastAsia="宋体"/>
                      <w:sz w:val="28"/>
                    </w:rPr>
                    <w:t>CMA</w:t>
                  </w:r>
                  <w:r>
                    <w:rPr>
                      <w:rFonts w:ascii="&quot;times new roman&quot;" w:hAnsi="&quot;times new roman&quot;" w:cs="&quot;times new roman&quot;" w:eastAsia="&quot;times new roman&quot;"/>
                      <w:sz w:val="32"/>
                    </w:rPr>
                    <w:t xml:space="preserve"> </w:t>
                  </w:r>
                  <w:r>
                    <w:rPr>
                      <w:rFonts w:ascii="宋体" w:hAnsi="宋体" w:cs="宋体" w:eastAsia="宋体"/>
                      <w:sz w:val="28"/>
                    </w:rPr>
                    <w:t>和</w:t>
                  </w:r>
                  <w:r>
                    <w:rPr>
                      <w:rFonts w:ascii="&quot;times new roman&quot;" w:hAnsi="&quot;times new roman&quot;" w:cs="&quot;times new roman&quot;" w:eastAsia="&quot;times new roman&quot;"/>
                      <w:sz w:val="32"/>
                    </w:rPr>
                    <w:t xml:space="preserve"> </w:t>
                  </w:r>
                  <w:r>
                    <w:rPr>
                      <w:rFonts w:ascii="宋体" w:hAnsi="宋体" w:cs="宋体" w:eastAsia="宋体"/>
                      <w:sz w:val="28"/>
                    </w:rPr>
                    <w:t>CNAS</w:t>
                  </w:r>
                  <w:r>
                    <w:rPr>
                      <w:rFonts w:ascii="&quot;times new roman&quot;" w:hAnsi="&quot;times new roman&quot;" w:cs="&quot;times new roman&quot;" w:eastAsia="&quot;times new roman&quot;"/>
                      <w:sz w:val="32"/>
                    </w:rPr>
                    <w:t xml:space="preserve"> </w:t>
                  </w:r>
                  <w:r>
                    <w:rPr>
                      <w:rFonts w:ascii="宋体" w:hAnsi="宋体" w:cs="宋体" w:eastAsia="宋体"/>
                      <w:sz w:val="28"/>
                    </w:rPr>
                    <w:t>标志的产品检</w:t>
                  </w:r>
                  <w:r>
                    <w:rPr>
                      <w:rFonts w:ascii="宋体" w:hAnsi="宋体" w:cs="宋体" w:eastAsia="宋体"/>
                      <w:sz w:val="28"/>
                    </w:rPr>
                    <w:t>测</w:t>
                  </w:r>
                  <w:r>
                    <w:rPr>
                      <w:rFonts w:ascii="宋体" w:hAnsi="宋体" w:cs="宋体" w:eastAsia="宋体"/>
                      <w:sz w:val="28"/>
                    </w:rPr>
                    <w:t>报告复印件并加盖投标人公章证明）</w:t>
                  </w:r>
                </w:p>
                <w:p>
                  <w:pPr>
                    <w:pStyle w:val="null3"/>
                    <w:spacing w:before="45"/>
                    <w:ind w:left="120"/>
                    <w:jc w:val="left"/>
                  </w:pPr>
                  <w:r>
                    <w:rPr>
                      <w:rFonts w:ascii="宋体" w:hAnsi="宋体" w:cs="宋体" w:eastAsia="宋体"/>
                      <w:sz w:val="28"/>
                    </w:rPr>
                    <w:t>●5</w:t>
                  </w:r>
                  <w:r>
                    <w:rPr>
                      <w:rFonts w:ascii="宋体" w:hAnsi="宋体" w:cs="宋体" w:eastAsia="宋体"/>
                      <w:sz w:val="28"/>
                    </w:rPr>
                    <w:t>.</w:t>
                  </w:r>
                  <w:r>
                    <w:rPr>
                      <w:rFonts w:ascii="宋体" w:hAnsi="宋体" w:cs="宋体" w:eastAsia="宋体"/>
                      <w:sz w:val="28"/>
                    </w:rPr>
                    <w:t>系统应支持报警信息记录储存、查询及回放；</w:t>
                  </w:r>
                </w:p>
                <w:p>
                  <w:pPr>
                    <w:pStyle w:val="null3"/>
                    <w:spacing w:before="45"/>
                    <w:ind w:left="120"/>
                    <w:jc w:val="left"/>
                  </w:pPr>
                  <w:r>
                    <w:rPr>
                      <w:rFonts w:ascii="宋体" w:hAnsi="宋体" w:cs="宋体" w:eastAsia="宋体"/>
                      <w:sz w:val="28"/>
                    </w:rPr>
                    <w:t>●6</w:t>
                  </w:r>
                  <w:r>
                    <w:rPr>
                      <w:rFonts w:ascii="宋体" w:hAnsi="宋体" w:cs="宋体" w:eastAsia="宋体"/>
                      <w:sz w:val="28"/>
                    </w:rPr>
                    <w:t>.</w:t>
                  </w:r>
                  <w:r>
                    <w:rPr>
                      <w:rFonts w:ascii="宋体" w:hAnsi="宋体" w:cs="宋体" w:eastAsia="宋体"/>
                      <w:sz w:val="28"/>
                    </w:rPr>
                    <w:t>具备手动和自动两种处置模式；</w:t>
                  </w:r>
                </w:p>
                <w:p>
                  <w:pPr>
                    <w:pStyle w:val="null3"/>
                    <w:spacing w:before="45"/>
                    <w:ind w:left="120"/>
                    <w:jc w:val="left"/>
                  </w:pPr>
                  <w:r>
                    <w:rPr>
                      <w:rFonts w:ascii="宋体" w:hAnsi="宋体" w:cs="宋体" w:eastAsia="宋体"/>
                      <w:sz w:val="28"/>
                    </w:rPr>
                    <w:t>●7</w:t>
                  </w:r>
                  <w:r>
                    <w:rPr>
                      <w:rFonts w:ascii="宋体" w:hAnsi="宋体" w:cs="宋体" w:eastAsia="宋体"/>
                      <w:sz w:val="28"/>
                    </w:rPr>
                    <w:t>.</w:t>
                  </w:r>
                  <w:r>
                    <w:rPr>
                      <w:rFonts w:ascii="宋体" w:hAnsi="宋体" w:cs="宋体" w:eastAsia="宋体"/>
                      <w:sz w:val="28"/>
                    </w:rPr>
                    <w:t>可显示无人机的频点、距离、高度等信息；</w:t>
                  </w:r>
                </w:p>
                <w:p>
                  <w:pPr>
                    <w:pStyle w:val="null3"/>
                    <w:spacing w:before="45"/>
                    <w:ind w:left="120"/>
                    <w:jc w:val="left"/>
                  </w:pPr>
                  <w:r>
                    <w:rPr>
                      <w:rFonts w:ascii="宋体" w:hAnsi="宋体" w:cs="宋体" w:eastAsia="宋体"/>
                      <w:sz w:val="28"/>
                    </w:rPr>
                    <w:t>●8</w:t>
                  </w:r>
                  <w:r>
                    <w:rPr>
                      <w:rFonts w:ascii="宋体" w:hAnsi="宋体" w:cs="宋体" w:eastAsia="宋体"/>
                      <w:sz w:val="28"/>
                    </w:rPr>
                    <w:t>.</w:t>
                  </w:r>
                  <w:r>
                    <w:rPr>
                      <w:rFonts w:ascii="宋体" w:hAnsi="宋体" w:cs="宋体" w:eastAsia="宋体"/>
                      <w:sz w:val="28"/>
                    </w:rPr>
                    <w:t>具备系统自检、电子地图态势显示、目标预警等功能；</w:t>
                  </w:r>
                </w:p>
                <w:p>
                  <w:pPr>
                    <w:pStyle w:val="null3"/>
                    <w:jc w:val="left"/>
                  </w:pPr>
                  <w:r>
                    <w:rPr>
                      <w:rFonts w:ascii="宋体" w:hAnsi="宋体" w:cs="宋体" w:eastAsia="宋体"/>
                      <w:sz w:val="28"/>
                    </w:rPr>
                    <w:t>●9</w:t>
                  </w:r>
                  <w:r>
                    <w:rPr>
                      <w:rFonts w:ascii="宋体" w:hAnsi="宋体" w:cs="宋体" w:eastAsia="宋体"/>
                      <w:sz w:val="28"/>
                    </w:rPr>
                    <w:t>.</w:t>
                  </w:r>
                  <w:r>
                    <w:rPr>
                      <w:rFonts w:ascii="宋体" w:hAnsi="宋体" w:cs="宋体" w:eastAsia="宋体"/>
                      <w:sz w:val="28"/>
                    </w:rPr>
                    <w:t>具备无人机值守、自动联动处置功能；</w:t>
                  </w:r>
                </w:p>
                <w:p>
                  <w:pPr>
                    <w:pStyle w:val="null3"/>
                    <w:spacing w:before="45"/>
                    <w:ind w:left="120"/>
                    <w:jc w:val="left"/>
                  </w:pPr>
                  <w:r>
                    <w:rPr>
                      <w:rFonts w:ascii="宋体" w:hAnsi="宋体" w:cs="宋体" w:eastAsia="宋体"/>
                      <w:sz w:val="28"/>
                    </w:rPr>
                    <w:t>●10</w:t>
                  </w:r>
                  <w:r>
                    <w:rPr>
                      <w:rFonts w:ascii="宋体" w:hAnsi="宋体" w:cs="宋体" w:eastAsia="宋体"/>
                      <w:sz w:val="28"/>
                    </w:rPr>
                    <w:t>.系统支持</w:t>
                  </w:r>
                  <w:r>
                    <w:rPr>
                      <w:rFonts w:ascii="宋体" w:hAnsi="宋体" w:cs="宋体" w:eastAsia="宋体"/>
                      <w:sz w:val="28"/>
                    </w:rPr>
                    <w:t>干扰设备在探测设备报警后开启发射</w:t>
                  </w:r>
                  <w:r>
                    <w:rPr>
                      <w:rFonts w:ascii="宋体" w:hAnsi="宋体" w:cs="宋体" w:eastAsia="宋体"/>
                      <w:sz w:val="28"/>
                    </w:rPr>
                    <w:t>功能</w:t>
                  </w:r>
                  <w:r>
                    <w:rPr>
                      <w:rFonts w:ascii="宋体" w:hAnsi="宋体" w:cs="宋体" w:eastAsia="宋体"/>
                      <w:sz w:val="28"/>
                    </w:rPr>
                    <w:t>；</w:t>
                  </w:r>
                </w:p>
                <w:p>
                  <w:pPr>
                    <w:pStyle w:val="null3"/>
                    <w:spacing w:before="45"/>
                    <w:ind w:left="120"/>
                    <w:jc w:val="left"/>
                  </w:pPr>
                  <w:r>
                    <w:rPr>
                      <w:rFonts w:ascii="宋体" w:hAnsi="宋体" w:cs="宋体" w:eastAsia="宋体"/>
                      <w:sz w:val="28"/>
                    </w:rPr>
                    <w:t>●11</w:t>
                  </w:r>
                  <w:r>
                    <w:rPr>
                      <w:rFonts w:ascii="宋体" w:hAnsi="宋体" w:cs="宋体" w:eastAsia="宋体"/>
                      <w:sz w:val="28"/>
                    </w:rPr>
                    <w:t>.</w:t>
                  </w:r>
                  <w:r>
                    <w:rPr>
                      <w:rFonts w:ascii="宋体" w:hAnsi="宋体" w:cs="宋体" w:eastAsia="宋体"/>
                      <w:sz w:val="28"/>
                    </w:rPr>
                    <w:t>系统带GPS定位，卫星地图上可标识系统部署点；</w:t>
                  </w:r>
                </w:p>
                <w:p>
                  <w:pPr>
                    <w:pStyle w:val="null3"/>
                    <w:spacing w:before="45"/>
                    <w:ind w:left="120"/>
                    <w:jc w:val="left"/>
                  </w:pPr>
                  <w:r>
                    <w:rPr>
                      <w:rFonts w:ascii="宋体" w:hAnsi="宋体" w:cs="宋体" w:eastAsia="宋体"/>
                      <w:sz w:val="28"/>
                    </w:rPr>
                    <w:t>●12</w:t>
                  </w:r>
                  <w:r>
                    <w:rPr>
                      <w:rFonts w:ascii="宋体" w:hAnsi="宋体" w:cs="宋体" w:eastAsia="宋体"/>
                      <w:sz w:val="28"/>
                    </w:rPr>
                    <w:t>.</w:t>
                  </w:r>
                  <w:r>
                    <w:rPr>
                      <w:rFonts w:ascii="宋体" w:hAnsi="宋体" w:cs="宋体" w:eastAsia="宋体"/>
                      <w:sz w:val="28"/>
                    </w:rPr>
                    <w:t>系统防御区域可调整；</w:t>
                  </w:r>
                </w:p>
                <w:p>
                  <w:pPr>
                    <w:pStyle w:val="null3"/>
                    <w:jc w:val="left"/>
                  </w:pPr>
                  <w:r>
                    <w:rPr>
                      <w:rFonts w:ascii="宋体" w:hAnsi="宋体" w:cs="宋体" w:eastAsia="宋体"/>
                      <w:sz w:val="28"/>
                    </w:rPr>
                    <w:t>●13</w:t>
                  </w:r>
                  <w:r>
                    <w:rPr>
                      <w:rFonts w:ascii="宋体" w:hAnsi="宋体" w:cs="宋体" w:eastAsia="宋体"/>
                      <w:sz w:val="28"/>
                    </w:rPr>
                    <w:t>.</w:t>
                  </w:r>
                  <w:r>
                    <w:rPr>
                      <w:rFonts w:ascii="宋体" w:hAnsi="宋体" w:cs="宋体" w:eastAsia="宋体"/>
                      <w:sz w:val="28"/>
                    </w:rPr>
                    <w:t>系统应具备模拟训练功能，可生成仿真信号演练处置流程；</w:t>
                  </w:r>
                </w:p>
                <w:p>
                  <w:pPr>
                    <w:pStyle w:val="null3"/>
                    <w:spacing w:before="45"/>
                    <w:ind w:left="120"/>
                    <w:jc w:val="left"/>
                  </w:pPr>
                  <w:r>
                    <w:rPr>
                      <w:rFonts w:ascii="宋体" w:hAnsi="宋体" w:cs="宋体" w:eastAsia="宋体"/>
                      <w:sz w:val="28"/>
                    </w:rPr>
                    <w:t>●14</w:t>
                  </w:r>
                  <w:r>
                    <w:rPr>
                      <w:rFonts w:ascii="宋体" w:hAnsi="宋体" w:cs="宋体" w:eastAsia="宋体"/>
                      <w:sz w:val="28"/>
                    </w:rPr>
                    <w:t>.</w:t>
                  </w:r>
                  <w:r>
                    <w:rPr>
                      <w:rFonts w:ascii="宋体" w:hAnsi="宋体" w:cs="宋体" w:eastAsia="宋体"/>
                      <w:sz w:val="28"/>
                    </w:rPr>
                    <w:t>系统应支持远程固件升级功能；</w:t>
                  </w:r>
                </w:p>
                <w:p>
                  <w:pPr>
                    <w:pStyle w:val="null3"/>
                    <w:spacing w:before="45"/>
                    <w:ind w:left="120"/>
                    <w:jc w:val="left"/>
                  </w:pPr>
                  <w:r>
                    <w:rPr>
                      <w:rFonts w:ascii="宋体" w:hAnsi="宋体" w:cs="宋体" w:eastAsia="宋体"/>
                      <w:sz w:val="28"/>
                    </w:rPr>
                    <w:t>●15</w:t>
                  </w:r>
                  <w:r>
                    <w:rPr>
                      <w:rFonts w:ascii="宋体" w:hAnsi="宋体" w:cs="宋体" w:eastAsia="宋体"/>
                      <w:sz w:val="28"/>
                    </w:rPr>
                    <w:t>.</w:t>
                  </w:r>
                  <w:r>
                    <w:rPr>
                      <w:rFonts w:ascii="宋体" w:hAnsi="宋体" w:cs="宋体" w:eastAsia="宋体"/>
                      <w:sz w:val="28"/>
                    </w:rPr>
                    <w:t>系统具备用户访问管理功能，能按不同访问权限对系统进行操作；</w:t>
                  </w:r>
                </w:p>
                <w:p>
                  <w:pPr>
                    <w:pStyle w:val="null3"/>
                    <w:spacing w:before="45"/>
                    <w:ind w:left="120"/>
                    <w:jc w:val="left"/>
                  </w:pPr>
                  <w:r>
                    <w:rPr>
                      <w:rFonts w:ascii="宋体" w:hAnsi="宋体" w:cs="宋体" w:eastAsia="宋体"/>
                      <w:sz w:val="28"/>
                    </w:rPr>
                    <w:t>●16</w:t>
                  </w:r>
                  <w:r>
                    <w:rPr>
                      <w:rFonts w:ascii="宋体" w:hAnsi="宋体" w:cs="宋体" w:eastAsia="宋体"/>
                      <w:sz w:val="28"/>
                    </w:rPr>
                    <w:t>.</w:t>
                  </w:r>
                  <w:r>
                    <w:rPr>
                      <w:rFonts w:ascii="宋体" w:hAnsi="宋体" w:cs="宋体" w:eastAsia="宋体"/>
                      <w:sz w:val="28"/>
                    </w:rPr>
                    <w:t>支持与GNSS授时系统时钟同步。</w:t>
                  </w:r>
                </w:p>
                <w:p>
                  <w:pPr>
                    <w:pStyle w:val="null3"/>
                    <w:ind w:firstLine="200"/>
                    <w:jc w:val="both"/>
                  </w:pPr>
                  <w:r>
                    <w:rPr>
                      <w:rFonts w:ascii="宋体" w:hAnsi="宋体" w:cs="宋体" w:eastAsia="宋体"/>
                      <w:sz w:val="24"/>
                    </w:rPr>
                    <w:t>发电机</w:t>
                  </w:r>
                </w:p>
                <w:p>
                  <w:pPr>
                    <w:pStyle w:val="null3"/>
                    <w:ind w:firstLine="200"/>
                    <w:jc w:val="both"/>
                  </w:pPr>
                  <w:r>
                    <w:rPr>
                      <w:rFonts w:ascii="宋体" w:hAnsi="宋体" w:cs="宋体" w:eastAsia="宋体"/>
                      <w:sz w:val="24"/>
                    </w:rPr>
                    <w:t>●1.</w:t>
                  </w:r>
                  <w:r>
                    <w:rPr>
                      <w:rFonts w:ascii="宋体" w:hAnsi="宋体" w:cs="宋体" w:eastAsia="宋体"/>
                      <w:sz w:val="24"/>
                    </w:rPr>
                    <w:t>额定功率：</w:t>
                  </w:r>
                  <w:r>
                    <w:rPr>
                      <w:rFonts w:ascii="宋体" w:hAnsi="宋体" w:cs="宋体" w:eastAsia="宋体"/>
                      <w:sz w:val="24"/>
                    </w:rPr>
                    <w:t>≥2000w</w:t>
                  </w:r>
                </w:p>
                <w:p>
                  <w:pPr>
                    <w:pStyle w:val="null3"/>
                    <w:ind w:firstLine="200"/>
                    <w:jc w:val="both"/>
                  </w:pPr>
                  <w:r>
                    <w:rPr>
                      <w:rFonts w:ascii="宋体" w:hAnsi="宋体" w:cs="宋体" w:eastAsia="宋体"/>
                      <w:sz w:val="24"/>
                    </w:rPr>
                    <w:t>●2.</w:t>
                  </w:r>
                  <w:r>
                    <w:rPr>
                      <w:rFonts w:ascii="宋体" w:hAnsi="宋体" w:cs="宋体" w:eastAsia="宋体"/>
                      <w:sz w:val="24"/>
                    </w:rPr>
                    <w:t>燃油：无铅汽油</w:t>
                  </w:r>
                </w:p>
                <w:p>
                  <w:pPr>
                    <w:pStyle w:val="null3"/>
                    <w:ind w:firstLine="200"/>
                    <w:jc w:val="both"/>
                  </w:pPr>
                  <w:r>
                    <w:rPr>
                      <w:rFonts w:ascii="宋体" w:hAnsi="宋体" w:cs="宋体" w:eastAsia="宋体"/>
                      <w:sz w:val="24"/>
                    </w:rPr>
                    <w:t>●3.</w:t>
                  </w:r>
                  <w:r>
                    <w:rPr>
                      <w:rFonts w:ascii="宋体" w:hAnsi="宋体" w:cs="宋体" w:eastAsia="宋体"/>
                      <w:sz w:val="24"/>
                    </w:rPr>
                    <w:t>尺寸：</w:t>
                  </w:r>
                  <w:r>
                    <w:rPr>
                      <w:rFonts w:ascii="宋体" w:hAnsi="宋体" w:cs="宋体" w:eastAsia="宋体"/>
                      <w:sz w:val="24"/>
                    </w:rPr>
                    <w:t>52*30*48cm（±3cm）</w:t>
                  </w:r>
                </w:p>
                <w:p>
                  <w:pPr>
                    <w:pStyle w:val="null3"/>
                    <w:ind w:firstLine="200"/>
                    <w:jc w:val="both"/>
                  </w:pPr>
                  <w:r>
                    <w:rPr>
                      <w:rFonts w:ascii="宋体" w:hAnsi="宋体" w:cs="宋体" w:eastAsia="宋体"/>
                      <w:sz w:val="24"/>
                    </w:rPr>
                    <w:t>●4.</w:t>
                  </w:r>
                  <w:r>
                    <w:rPr>
                      <w:rFonts w:ascii="宋体" w:hAnsi="宋体" w:cs="宋体" w:eastAsia="宋体"/>
                      <w:sz w:val="24"/>
                    </w:rPr>
                    <w:t>油器容量：</w:t>
                  </w:r>
                  <w:r>
                    <w:rPr>
                      <w:rFonts w:ascii="宋体" w:hAnsi="宋体" w:cs="宋体" w:eastAsia="宋体"/>
                      <w:sz w:val="24"/>
                    </w:rPr>
                    <w:t>≥3.8L</w:t>
                  </w:r>
                </w:p>
                <w:p>
                  <w:pPr>
                    <w:pStyle w:val="null3"/>
                    <w:ind w:firstLine="200"/>
                    <w:jc w:val="both"/>
                  </w:pPr>
                  <w:r>
                    <w:rPr>
                      <w:rFonts w:ascii="宋体" w:hAnsi="宋体" w:cs="宋体" w:eastAsia="宋体"/>
                      <w:sz w:val="24"/>
                    </w:rPr>
                    <w:t>●5.</w:t>
                  </w:r>
                  <w:r>
                    <w:rPr>
                      <w:rFonts w:ascii="宋体" w:hAnsi="宋体" w:cs="宋体" w:eastAsia="宋体"/>
                      <w:sz w:val="24"/>
                    </w:rPr>
                    <w:t>重量：</w:t>
                  </w:r>
                  <w:r>
                    <w:rPr>
                      <w:rFonts w:ascii="宋体" w:hAnsi="宋体" w:cs="宋体" w:eastAsia="宋体"/>
                      <w:sz w:val="24"/>
                    </w:rPr>
                    <w:t>≤23KG</w:t>
                  </w:r>
                </w:p>
                <w:p>
                  <w:pPr>
                    <w:pStyle w:val="null3"/>
                    <w:ind w:firstLine="200"/>
                    <w:jc w:val="both"/>
                  </w:pPr>
                  <w:r>
                    <w:rPr>
                      <w:rFonts w:ascii="宋体" w:hAnsi="宋体" w:cs="宋体" w:eastAsia="宋体"/>
                      <w:sz w:val="24"/>
                    </w:rPr>
                    <w:t>●6.</w:t>
                  </w:r>
                  <w:r>
                    <w:rPr>
                      <w:rFonts w:ascii="宋体" w:hAnsi="宋体" w:cs="宋体" w:eastAsia="宋体"/>
                      <w:sz w:val="24"/>
                    </w:rPr>
                    <w:t>频率：</w:t>
                  </w:r>
                  <w:r>
                    <w:rPr>
                      <w:rFonts w:ascii="宋体" w:hAnsi="宋体" w:cs="宋体" w:eastAsia="宋体"/>
                      <w:sz w:val="24"/>
                    </w:rPr>
                    <w:t>50Hz</w:t>
                  </w:r>
                </w:p>
                <w:p>
                  <w:pPr>
                    <w:pStyle w:val="null3"/>
                    <w:ind w:firstLine="200"/>
                    <w:jc w:val="both"/>
                  </w:pPr>
                  <w:r>
                    <w:rPr>
                      <w:rFonts w:ascii="宋体" w:hAnsi="宋体" w:cs="宋体" w:eastAsia="宋体"/>
                      <w:sz w:val="24"/>
                    </w:rPr>
                    <w:t>●7.</w:t>
                  </w:r>
                  <w:r>
                    <w:rPr>
                      <w:rFonts w:ascii="宋体" w:hAnsi="宋体" w:cs="宋体" w:eastAsia="宋体"/>
                      <w:sz w:val="24"/>
                    </w:rPr>
                    <w:t>额定电压：</w:t>
                  </w:r>
                  <w:r>
                    <w:rPr>
                      <w:rFonts w:ascii="宋体" w:hAnsi="宋体" w:cs="宋体" w:eastAsia="宋体"/>
                      <w:sz w:val="24"/>
                    </w:rPr>
                    <w:t>220V</w:t>
                  </w:r>
                </w:p>
                <w:p>
                  <w:pPr>
                    <w:pStyle w:val="null3"/>
                    <w:ind w:firstLine="200"/>
                    <w:jc w:val="both"/>
                  </w:pPr>
                  <w:r>
                    <w:rPr>
                      <w:rFonts w:ascii="宋体" w:hAnsi="宋体" w:cs="宋体" w:eastAsia="宋体"/>
                      <w:sz w:val="24"/>
                    </w:rPr>
                    <w:t>●8.</w:t>
                  </w:r>
                  <w:r>
                    <w:rPr>
                      <w:rFonts w:ascii="宋体" w:hAnsi="宋体" w:cs="宋体" w:eastAsia="宋体"/>
                      <w:sz w:val="24"/>
                    </w:rPr>
                    <w:t>声音：</w:t>
                  </w:r>
                  <w:r>
                    <w:rPr>
                      <w:rFonts w:ascii="宋体" w:hAnsi="宋体" w:cs="宋体" w:eastAsia="宋体"/>
                      <w:sz w:val="24"/>
                    </w:rPr>
                    <w:t>56db-63db</w:t>
                  </w:r>
                </w:p>
                <w:p>
                  <w:pPr>
                    <w:pStyle w:val="null3"/>
                    <w:ind w:firstLine="200"/>
                    <w:jc w:val="both"/>
                  </w:pPr>
                  <w:r>
                    <w:rPr>
                      <w:rFonts w:ascii="宋体" w:hAnsi="宋体" w:cs="宋体" w:eastAsia="宋体"/>
                      <w:sz w:val="24"/>
                    </w:rPr>
                    <w:t>●9.</w:t>
                  </w:r>
                  <w:r>
                    <w:rPr>
                      <w:rFonts w:ascii="宋体" w:hAnsi="宋体" w:cs="宋体" w:eastAsia="宋体"/>
                      <w:sz w:val="24"/>
                    </w:rPr>
                    <w:t>启动方式：手动</w:t>
                  </w:r>
                </w:p>
                <w:p>
                  <w:pPr>
                    <w:pStyle w:val="null3"/>
                    <w:ind w:firstLine="200"/>
                    <w:jc w:val="both"/>
                  </w:pP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8"/>
                    </w:rPr>
                    <w:t>2</w:t>
                  </w:r>
                </w:p>
              </w:tc>
              <w:tc>
                <w:tcPr>
                  <w:tcW w:type="dxa" w:w="3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jc w:val="left"/>
                  </w:pPr>
                  <w:r>
                    <w:rPr>
                      <w:rFonts w:ascii="宋体" w:hAnsi="宋体" w:cs="宋体" w:eastAsia="宋体"/>
                      <w:sz w:val="28"/>
                    </w:rPr>
                    <w:t>便携式侦测反制一体设备</w:t>
                  </w:r>
                </w:p>
              </w:tc>
              <w:tc>
                <w:tcPr>
                  <w:tcW w:type="dxa" w:w="19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60"/>
                    <w:ind w:left="120"/>
                    <w:jc w:val="left"/>
                  </w:pPr>
                  <w:r>
                    <w:rPr>
                      <w:rFonts w:ascii="宋体" w:hAnsi="宋体" w:cs="宋体" w:eastAsia="宋体"/>
                      <w:sz w:val="28"/>
                    </w:rPr>
                    <w:t>●</w:t>
                  </w:r>
                  <w:r>
                    <w:rPr>
                      <w:rFonts w:ascii="宋体" w:hAnsi="宋体" w:cs="宋体" w:eastAsia="宋体"/>
                      <w:sz w:val="28"/>
                    </w:rPr>
                    <w:t>1</w:t>
                  </w:r>
                  <w:r>
                    <w:rPr>
                      <w:rFonts w:ascii="宋体" w:hAnsi="宋体" w:cs="宋体" w:eastAsia="宋体"/>
                      <w:sz w:val="28"/>
                    </w:rPr>
                    <w:t>.</w:t>
                  </w:r>
                  <w:r>
                    <w:rPr>
                      <w:rFonts w:ascii="宋体" w:hAnsi="宋体" w:cs="宋体" w:eastAsia="宋体"/>
                      <w:sz w:val="28"/>
                    </w:rPr>
                    <w:t>手持式干扰枪应为一体式结构，集成探测和干扰功能；</w:t>
                  </w:r>
                </w:p>
                <w:p>
                  <w:pPr>
                    <w:pStyle w:val="null3"/>
                    <w:spacing w:before="60"/>
                    <w:ind w:left="120"/>
                    <w:jc w:val="left"/>
                  </w:pPr>
                  <w:r>
                    <w:rPr>
                      <w:rFonts w:ascii="宋体" w:hAnsi="宋体" w:cs="宋体" w:eastAsia="宋体"/>
                      <w:sz w:val="28"/>
                    </w:rPr>
                    <w:t>●</w:t>
                  </w:r>
                  <w:r>
                    <w:rPr>
                      <w:rFonts w:ascii="宋体" w:hAnsi="宋体" w:cs="宋体" w:eastAsia="宋体"/>
                      <w:sz w:val="28"/>
                    </w:rPr>
                    <w:t>2</w:t>
                  </w:r>
                  <w:r>
                    <w:rPr>
                      <w:rFonts w:ascii="宋体" w:hAnsi="宋体" w:cs="宋体" w:eastAsia="宋体"/>
                      <w:sz w:val="28"/>
                    </w:rPr>
                    <w:t>.</w:t>
                  </w:r>
                  <w:r>
                    <w:rPr>
                      <w:rFonts w:ascii="宋体" w:hAnsi="宋体" w:cs="宋体" w:eastAsia="宋体"/>
                      <w:sz w:val="28"/>
                    </w:rPr>
                    <w:t>尺寸最长边≤</w:t>
                  </w:r>
                  <w:r>
                    <w:rPr>
                      <w:rFonts w:ascii="宋体" w:hAnsi="宋体" w:cs="宋体" w:eastAsia="宋体"/>
                      <w:sz w:val="28"/>
                    </w:rPr>
                    <w:t>8</w:t>
                  </w:r>
                  <w:r>
                    <w:rPr>
                      <w:rFonts w:ascii="宋体" w:hAnsi="宋体" w:cs="宋体" w:eastAsia="宋体"/>
                      <w:sz w:val="28"/>
                    </w:rPr>
                    <w:t>00mm；</w:t>
                  </w:r>
                </w:p>
                <w:p>
                  <w:pPr>
                    <w:pStyle w:val="null3"/>
                    <w:jc w:val="left"/>
                  </w:pPr>
                  <w:r>
                    <w:rPr>
                      <w:rFonts w:ascii="宋体" w:hAnsi="宋体" w:cs="宋体" w:eastAsia="宋体"/>
                      <w:sz w:val="28"/>
                    </w:rPr>
                    <w:t>●</w:t>
                  </w:r>
                  <w:r>
                    <w:rPr>
                      <w:rFonts w:ascii="宋体" w:hAnsi="宋体" w:cs="宋体" w:eastAsia="宋体"/>
                      <w:sz w:val="28"/>
                    </w:rPr>
                    <w:t>3</w:t>
                  </w:r>
                  <w:r>
                    <w:rPr>
                      <w:rFonts w:ascii="宋体" w:hAnsi="宋体" w:cs="宋体" w:eastAsia="宋体"/>
                      <w:sz w:val="28"/>
                    </w:rPr>
                    <w:t>.</w:t>
                  </w:r>
                  <w:r>
                    <w:rPr>
                      <w:rFonts w:ascii="宋体" w:hAnsi="宋体" w:cs="宋体" w:eastAsia="宋体"/>
                      <w:sz w:val="28"/>
                    </w:rPr>
                    <w:t>整机重量（含电池）：≤5kg；</w:t>
                  </w:r>
                </w:p>
                <w:p>
                  <w:pPr>
                    <w:pStyle w:val="null3"/>
                    <w:jc w:val="left"/>
                  </w:pPr>
                  <w:r>
                    <w:rPr>
                      <w:rFonts w:ascii="宋体" w:hAnsi="宋体" w:cs="宋体" w:eastAsia="宋体"/>
                      <w:sz w:val="28"/>
                    </w:rPr>
                    <w:t>▲4</w:t>
                  </w:r>
                  <w:r>
                    <w:rPr>
                      <w:rFonts w:ascii="宋体" w:hAnsi="宋体" w:cs="宋体" w:eastAsia="宋体"/>
                      <w:sz w:val="28"/>
                    </w:rPr>
                    <w:t>.</w:t>
                  </w:r>
                  <w:r>
                    <w:rPr>
                      <w:rFonts w:ascii="宋体" w:hAnsi="宋体" w:cs="宋体" w:eastAsia="宋体"/>
                      <w:sz w:val="28"/>
                    </w:rPr>
                    <w:t>探测频率范围：</w:t>
                  </w:r>
                  <w:r>
                    <w:rPr>
                      <w:rFonts w:ascii="宋体" w:hAnsi="宋体" w:cs="宋体" w:eastAsia="宋体"/>
                      <w:sz w:val="28"/>
                    </w:rPr>
                    <w:t>30</w:t>
                  </w:r>
                  <w:r>
                    <w:rPr>
                      <w:rFonts w:ascii="宋体" w:hAnsi="宋体" w:cs="宋体" w:eastAsia="宋体"/>
                      <w:sz w:val="28"/>
                    </w:rPr>
                    <w:t>MHz~6000MHz；</w:t>
                  </w:r>
                  <w:r>
                    <w:rPr>
                      <w:rFonts w:ascii="宋体" w:hAnsi="宋体" w:cs="宋体" w:eastAsia="宋体"/>
                      <w:sz w:val="28"/>
                    </w:rPr>
                    <w:t>（</w:t>
                  </w:r>
                  <w:r>
                    <w:rPr>
                      <w:rFonts w:ascii="宋体" w:hAnsi="宋体" w:cs="宋体" w:eastAsia="宋体"/>
                      <w:sz w:val="28"/>
                    </w:rPr>
                    <w:t>提供具有</w:t>
                  </w:r>
                  <w:r>
                    <w:rPr>
                      <w:rFonts w:ascii="&quot;times new roman&quot;" w:hAnsi="&quot;times new roman&quot;" w:cs="&quot;times new roman&quot;" w:eastAsia="&quot;times new roman&quot;"/>
                      <w:sz w:val="32"/>
                    </w:rPr>
                    <w:t xml:space="preserve"> </w:t>
                  </w:r>
                  <w:r>
                    <w:rPr>
                      <w:rFonts w:ascii="宋体" w:hAnsi="宋体" w:cs="宋体" w:eastAsia="宋体"/>
                      <w:sz w:val="28"/>
                    </w:rPr>
                    <w:t>CMA</w:t>
                  </w:r>
                  <w:r>
                    <w:rPr>
                      <w:rFonts w:ascii="&quot;times new roman&quot;" w:hAnsi="&quot;times new roman&quot;" w:cs="&quot;times new roman&quot;" w:eastAsia="&quot;times new roman&quot;"/>
                      <w:sz w:val="32"/>
                    </w:rPr>
                    <w:t xml:space="preserve"> </w:t>
                  </w:r>
                  <w:r>
                    <w:rPr>
                      <w:rFonts w:ascii="宋体" w:hAnsi="宋体" w:cs="宋体" w:eastAsia="宋体"/>
                      <w:sz w:val="28"/>
                    </w:rPr>
                    <w:t>和</w:t>
                  </w:r>
                  <w:r>
                    <w:rPr>
                      <w:rFonts w:ascii="&quot;times new roman&quot;" w:hAnsi="&quot;times new roman&quot;" w:cs="&quot;times new roman&quot;" w:eastAsia="&quot;times new roman&quot;"/>
                      <w:sz w:val="32"/>
                    </w:rPr>
                    <w:t xml:space="preserve"> </w:t>
                  </w:r>
                  <w:r>
                    <w:rPr>
                      <w:rFonts w:ascii="宋体" w:hAnsi="宋体" w:cs="宋体" w:eastAsia="宋体"/>
                      <w:sz w:val="28"/>
                    </w:rPr>
                    <w:t>CNAS</w:t>
                  </w:r>
                  <w:r>
                    <w:rPr>
                      <w:rFonts w:ascii="&quot;times new roman&quot;" w:hAnsi="&quot;times new roman&quot;" w:cs="&quot;times new roman&quot;" w:eastAsia="&quot;times new roman&quot;"/>
                      <w:sz w:val="32"/>
                    </w:rPr>
                    <w:t xml:space="preserve"> </w:t>
                  </w:r>
                  <w:r>
                    <w:rPr>
                      <w:rFonts w:ascii="宋体" w:hAnsi="宋体" w:cs="宋体" w:eastAsia="宋体"/>
                      <w:sz w:val="28"/>
                    </w:rPr>
                    <w:t>标志的产品检</w:t>
                  </w:r>
                  <w:r>
                    <w:rPr>
                      <w:rFonts w:ascii="宋体" w:hAnsi="宋体" w:cs="宋体" w:eastAsia="宋体"/>
                      <w:sz w:val="28"/>
                    </w:rPr>
                    <w:t>测</w:t>
                  </w:r>
                  <w:r>
                    <w:rPr>
                      <w:rFonts w:ascii="宋体" w:hAnsi="宋体" w:cs="宋体" w:eastAsia="宋体"/>
                      <w:sz w:val="28"/>
                    </w:rPr>
                    <w:t>报告复印件并加盖投标人公章证明）</w:t>
                  </w:r>
                </w:p>
                <w:p>
                  <w:pPr>
                    <w:pStyle w:val="null3"/>
                    <w:jc w:val="left"/>
                  </w:pPr>
                  <w:r>
                    <w:rPr>
                      <w:rFonts w:ascii="宋体" w:hAnsi="宋体" w:cs="宋体" w:eastAsia="宋体"/>
                      <w:sz w:val="28"/>
                    </w:rPr>
                    <w:t>▲5</w:t>
                  </w:r>
                  <w:r>
                    <w:rPr>
                      <w:rFonts w:ascii="宋体" w:hAnsi="宋体" w:cs="宋体" w:eastAsia="宋体"/>
                      <w:sz w:val="28"/>
                    </w:rPr>
                    <w:t>.</w:t>
                  </w:r>
                  <w:r>
                    <w:rPr>
                      <w:rFonts w:ascii="宋体" w:hAnsi="宋体" w:cs="宋体" w:eastAsia="宋体"/>
                      <w:sz w:val="28"/>
                    </w:rPr>
                    <w:t>探测距离：≥2km；</w:t>
                  </w:r>
                  <w:r>
                    <w:rPr>
                      <w:rFonts w:ascii="宋体" w:hAnsi="宋体" w:cs="宋体" w:eastAsia="宋体"/>
                      <w:sz w:val="28"/>
                    </w:rPr>
                    <w:t>（</w:t>
                  </w:r>
                  <w:r>
                    <w:rPr>
                      <w:rFonts w:ascii="宋体" w:hAnsi="宋体" w:cs="宋体" w:eastAsia="宋体"/>
                      <w:sz w:val="28"/>
                    </w:rPr>
                    <w:t>提供具有</w:t>
                  </w:r>
                  <w:r>
                    <w:rPr>
                      <w:rFonts w:ascii="&quot;times new roman&quot;" w:hAnsi="&quot;times new roman&quot;" w:cs="&quot;times new roman&quot;" w:eastAsia="&quot;times new roman&quot;"/>
                      <w:sz w:val="32"/>
                    </w:rPr>
                    <w:t xml:space="preserve"> </w:t>
                  </w:r>
                  <w:r>
                    <w:rPr>
                      <w:rFonts w:ascii="宋体" w:hAnsi="宋体" w:cs="宋体" w:eastAsia="宋体"/>
                      <w:sz w:val="28"/>
                    </w:rPr>
                    <w:t>CMA</w:t>
                  </w:r>
                  <w:r>
                    <w:rPr>
                      <w:rFonts w:ascii="&quot;times new roman&quot;" w:hAnsi="&quot;times new roman&quot;" w:cs="&quot;times new roman&quot;" w:eastAsia="&quot;times new roman&quot;"/>
                      <w:sz w:val="32"/>
                    </w:rPr>
                    <w:t xml:space="preserve"> </w:t>
                  </w:r>
                  <w:r>
                    <w:rPr>
                      <w:rFonts w:ascii="宋体" w:hAnsi="宋体" w:cs="宋体" w:eastAsia="宋体"/>
                      <w:sz w:val="28"/>
                    </w:rPr>
                    <w:t>和</w:t>
                  </w:r>
                  <w:r>
                    <w:rPr>
                      <w:rFonts w:ascii="&quot;times new roman&quot;" w:hAnsi="&quot;times new roman&quot;" w:cs="&quot;times new roman&quot;" w:eastAsia="&quot;times new roman&quot;"/>
                      <w:sz w:val="32"/>
                    </w:rPr>
                    <w:t xml:space="preserve"> </w:t>
                  </w:r>
                  <w:r>
                    <w:rPr>
                      <w:rFonts w:ascii="宋体" w:hAnsi="宋体" w:cs="宋体" w:eastAsia="宋体"/>
                      <w:sz w:val="28"/>
                    </w:rPr>
                    <w:t>CNAS</w:t>
                  </w:r>
                  <w:r>
                    <w:rPr>
                      <w:rFonts w:ascii="&quot;times new roman&quot;" w:hAnsi="&quot;times new roman&quot;" w:cs="&quot;times new roman&quot;" w:eastAsia="&quot;times new roman&quot;"/>
                      <w:sz w:val="32"/>
                    </w:rPr>
                    <w:t xml:space="preserve"> </w:t>
                  </w:r>
                  <w:r>
                    <w:rPr>
                      <w:rFonts w:ascii="宋体" w:hAnsi="宋体" w:cs="宋体" w:eastAsia="宋体"/>
                      <w:sz w:val="28"/>
                    </w:rPr>
                    <w:t>标志的产品检</w:t>
                  </w:r>
                  <w:r>
                    <w:rPr>
                      <w:rFonts w:ascii="宋体" w:hAnsi="宋体" w:cs="宋体" w:eastAsia="宋体"/>
                      <w:sz w:val="28"/>
                    </w:rPr>
                    <w:t>测</w:t>
                  </w:r>
                  <w:r>
                    <w:rPr>
                      <w:rFonts w:ascii="宋体" w:hAnsi="宋体" w:cs="宋体" w:eastAsia="宋体"/>
                      <w:sz w:val="28"/>
                    </w:rPr>
                    <w:t>报告复印件并加盖投标人公章证明）</w:t>
                  </w:r>
                </w:p>
                <w:p>
                  <w:pPr>
                    <w:pStyle w:val="null3"/>
                    <w:spacing w:before="60"/>
                    <w:ind w:left="120"/>
                    <w:jc w:val="left"/>
                  </w:pPr>
                  <w:r>
                    <w:rPr>
                      <w:rFonts w:ascii="宋体" w:hAnsi="宋体" w:cs="宋体" w:eastAsia="宋体"/>
                      <w:sz w:val="28"/>
                    </w:rPr>
                    <w:t>●</w:t>
                  </w:r>
                  <w:r>
                    <w:rPr>
                      <w:rFonts w:ascii="宋体" w:hAnsi="宋体" w:cs="宋体" w:eastAsia="宋体"/>
                      <w:sz w:val="28"/>
                    </w:rPr>
                    <w:t>6</w:t>
                  </w:r>
                  <w:r>
                    <w:rPr>
                      <w:rFonts w:ascii="宋体" w:hAnsi="宋体" w:cs="宋体" w:eastAsia="宋体"/>
                      <w:sz w:val="28"/>
                    </w:rPr>
                    <w:t>.</w:t>
                  </w:r>
                  <w:r>
                    <w:rPr>
                      <w:rFonts w:ascii="宋体" w:hAnsi="宋体" w:cs="宋体" w:eastAsia="宋体"/>
                      <w:sz w:val="28"/>
                    </w:rPr>
                    <w:t>探测发现时间：≤3s，测向误差：＜5°；</w:t>
                  </w:r>
                </w:p>
                <w:p>
                  <w:pPr>
                    <w:pStyle w:val="null3"/>
                    <w:spacing w:before="60"/>
                    <w:ind w:left="120"/>
                    <w:jc w:val="left"/>
                  </w:pPr>
                  <w:r>
                    <w:rPr>
                      <w:rFonts w:ascii="宋体" w:hAnsi="宋体" w:cs="宋体" w:eastAsia="宋体"/>
                      <w:sz w:val="28"/>
                    </w:rPr>
                    <w:t>●</w:t>
                  </w:r>
                  <w:r>
                    <w:rPr>
                      <w:rFonts w:ascii="宋体" w:hAnsi="宋体" w:cs="宋体" w:eastAsia="宋体"/>
                      <w:sz w:val="28"/>
                    </w:rPr>
                    <w:t>7</w:t>
                  </w:r>
                  <w:r>
                    <w:rPr>
                      <w:rFonts w:ascii="宋体" w:hAnsi="宋体" w:cs="宋体" w:eastAsia="宋体"/>
                      <w:sz w:val="28"/>
                    </w:rPr>
                    <w:t>.</w:t>
                  </w:r>
                  <w:r>
                    <w:rPr>
                      <w:rFonts w:ascii="宋体" w:hAnsi="宋体" w:cs="宋体" w:eastAsia="宋体"/>
                      <w:sz w:val="28"/>
                    </w:rPr>
                    <w:t>基础干扰频段：至少包括1.5GHz、2.4GHz、5.2GHz、5.8GHz；</w:t>
                  </w:r>
                </w:p>
                <w:p>
                  <w:pPr>
                    <w:pStyle w:val="null3"/>
                    <w:spacing w:before="60"/>
                    <w:ind w:left="120"/>
                    <w:jc w:val="left"/>
                  </w:pPr>
                  <w:r>
                    <w:rPr>
                      <w:rFonts w:ascii="宋体" w:hAnsi="宋体" w:cs="宋体" w:eastAsia="宋体"/>
                      <w:sz w:val="28"/>
                    </w:rPr>
                    <w:t>●</w:t>
                  </w:r>
                  <w:r>
                    <w:rPr>
                      <w:rFonts w:ascii="宋体" w:hAnsi="宋体" w:cs="宋体" w:eastAsia="宋体"/>
                      <w:sz w:val="28"/>
                    </w:rPr>
                    <w:t>8</w:t>
                  </w:r>
                  <w:r>
                    <w:rPr>
                      <w:rFonts w:ascii="宋体" w:hAnsi="宋体" w:cs="宋体" w:eastAsia="宋体"/>
                      <w:sz w:val="28"/>
                    </w:rPr>
                    <w:t>.</w:t>
                  </w:r>
                  <w:r>
                    <w:rPr>
                      <w:rFonts w:ascii="宋体" w:hAnsi="宋体" w:cs="宋体" w:eastAsia="宋体"/>
                      <w:sz w:val="28"/>
                    </w:rPr>
                    <w:t>60MHz~2GHz范围内支持自定义干扰发射频段和带宽；</w:t>
                  </w:r>
                </w:p>
                <w:p>
                  <w:pPr>
                    <w:pStyle w:val="null3"/>
                    <w:spacing w:before="60"/>
                    <w:ind w:left="120"/>
                    <w:jc w:val="left"/>
                  </w:pPr>
                  <w:r>
                    <w:rPr>
                      <w:rFonts w:ascii="宋体" w:hAnsi="宋体" w:cs="宋体" w:eastAsia="宋体"/>
                      <w:sz w:val="28"/>
                    </w:rPr>
                    <w:t>●</w:t>
                  </w:r>
                  <w:r>
                    <w:rPr>
                      <w:rFonts w:ascii="宋体" w:hAnsi="宋体" w:cs="宋体" w:eastAsia="宋体"/>
                      <w:sz w:val="28"/>
                    </w:rPr>
                    <w:t>9</w:t>
                  </w:r>
                  <w:r>
                    <w:rPr>
                      <w:rFonts w:ascii="宋体" w:hAnsi="宋体" w:cs="宋体" w:eastAsia="宋体"/>
                      <w:sz w:val="28"/>
                    </w:rPr>
                    <w:t>.</w:t>
                  </w:r>
                  <w:r>
                    <w:rPr>
                      <w:rFonts w:ascii="宋体" w:hAnsi="宋体" w:cs="宋体" w:eastAsia="宋体"/>
                      <w:sz w:val="28"/>
                    </w:rPr>
                    <w:t>支持最大同时输出的干扰信道数：＞10个；</w:t>
                  </w:r>
                </w:p>
                <w:p>
                  <w:pPr>
                    <w:pStyle w:val="null3"/>
                    <w:spacing w:before="60"/>
                    <w:ind w:left="120"/>
                    <w:jc w:val="left"/>
                  </w:pPr>
                  <w:r>
                    <w:rPr>
                      <w:rFonts w:ascii="宋体" w:hAnsi="宋体" w:cs="宋体" w:eastAsia="宋体"/>
                      <w:sz w:val="28"/>
                    </w:rPr>
                    <w:t>●</w:t>
                  </w:r>
                  <w:r>
                    <w:rPr>
                      <w:rFonts w:ascii="宋体" w:hAnsi="宋体" w:cs="宋体" w:eastAsia="宋体"/>
                      <w:sz w:val="28"/>
                    </w:rPr>
                    <w:t>10</w:t>
                  </w:r>
                  <w:r>
                    <w:rPr>
                      <w:rFonts w:ascii="宋体" w:hAnsi="宋体" w:cs="宋体" w:eastAsia="宋体"/>
                      <w:sz w:val="28"/>
                    </w:rPr>
                    <w:t>.</w:t>
                  </w:r>
                  <w:r>
                    <w:rPr>
                      <w:rFonts w:ascii="宋体" w:hAnsi="宋体" w:cs="宋体" w:eastAsia="宋体"/>
                      <w:sz w:val="28"/>
                    </w:rPr>
                    <w:t>干扰距离≥1km（干通比≥20：1）；</w:t>
                  </w:r>
                </w:p>
                <w:p>
                  <w:pPr>
                    <w:pStyle w:val="null3"/>
                    <w:spacing w:before="60"/>
                    <w:ind w:left="120"/>
                    <w:jc w:val="left"/>
                  </w:pPr>
                  <w:r>
                    <w:rPr>
                      <w:rFonts w:ascii="宋体" w:hAnsi="宋体" w:cs="宋体" w:eastAsia="宋体"/>
                      <w:sz w:val="28"/>
                    </w:rPr>
                    <w:t>●</w:t>
                  </w:r>
                  <w:r>
                    <w:rPr>
                      <w:rFonts w:ascii="宋体" w:hAnsi="宋体" w:cs="宋体" w:eastAsia="宋体"/>
                      <w:sz w:val="28"/>
                    </w:rPr>
                    <w:t>11</w:t>
                  </w:r>
                  <w:r>
                    <w:rPr>
                      <w:rFonts w:ascii="宋体" w:hAnsi="宋体" w:cs="宋体" w:eastAsia="宋体"/>
                      <w:sz w:val="28"/>
                    </w:rPr>
                    <w:t>.</w:t>
                  </w:r>
                  <w:r>
                    <w:rPr>
                      <w:rFonts w:ascii="宋体" w:hAnsi="宋体" w:cs="宋体" w:eastAsia="宋体"/>
                      <w:sz w:val="28"/>
                    </w:rPr>
                    <w:t>干扰生效时间：≤3s；</w:t>
                  </w:r>
                </w:p>
                <w:p>
                  <w:pPr>
                    <w:pStyle w:val="null3"/>
                    <w:spacing w:before="60"/>
                    <w:ind w:left="120"/>
                    <w:jc w:val="left"/>
                  </w:pPr>
                  <w:r>
                    <w:rPr>
                      <w:rFonts w:ascii="宋体" w:hAnsi="宋体" w:cs="宋体" w:eastAsia="宋体"/>
                      <w:sz w:val="28"/>
                    </w:rPr>
                    <w:t>●</w:t>
                  </w:r>
                  <w:r>
                    <w:rPr>
                      <w:rFonts w:ascii="宋体" w:hAnsi="宋体" w:cs="宋体" w:eastAsia="宋体"/>
                      <w:sz w:val="28"/>
                    </w:rPr>
                    <w:t>12</w:t>
                  </w:r>
                  <w:r>
                    <w:rPr>
                      <w:rFonts w:ascii="宋体" w:hAnsi="宋体" w:cs="宋体" w:eastAsia="宋体"/>
                      <w:sz w:val="28"/>
                    </w:rPr>
                    <w:t>.</w:t>
                  </w:r>
                  <w:r>
                    <w:rPr>
                      <w:rFonts w:ascii="宋体" w:hAnsi="宋体" w:cs="宋体" w:eastAsia="宋体"/>
                      <w:sz w:val="28"/>
                    </w:rPr>
                    <w:t>待机时间：≥12小时</w:t>
                  </w:r>
                  <w:r>
                    <w:rPr>
                      <w:rFonts w:ascii="宋体" w:hAnsi="宋体" w:cs="宋体" w:eastAsia="宋体"/>
                      <w:sz w:val="28"/>
                    </w:rPr>
                    <w:t>；</w:t>
                  </w:r>
                </w:p>
                <w:p>
                  <w:pPr>
                    <w:pStyle w:val="null3"/>
                    <w:spacing w:before="60"/>
                    <w:ind w:left="120"/>
                    <w:jc w:val="left"/>
                  </w:pPr>
                  <w:r>
                    <w:rPr>
                      <w:rFonts w:ascii="宋体" w:hAnsi="宋体" w:cs="宋体" w:eastAsia="宋体"/>
                      <w:sz w:val="28"/>
                    </w:rPr>
                    <w:t>●13.</w:t>
                  </w:r>
                  <w:r>
                    <w:rPr>
                      <w:rFonts w:ascii="宋体" w:hAnsi="宋体" w:cs="宋体" w:eastAsia="宋体"/>
                      <w:sz w:val="28"/>
                    </w:rPr>
                    <w:t>持续发射时间：≥2小时；</w:t>
                  </w:r>
                </w:p>
                <w:p>
                  <w:pPr>
                    <w:pStyle w:val="null3"/>
                    <w:jc w:val="left"/>
                  </w:pPr>
                  <w:r>
                    <w:rPr>
                      <w:rFonts w:ascii="宋体" w:hAnsi="宋体" w:cs="宋体" w:eastAsia="宋体"/>
                      <w:sz w:val="28"/>
                    </w:rPr>
                    <w:t>▲</w:t>
                  </w:r>
                  <w:r>
                    <w:rPr>
                      <w:rFonts w:ascii="宋体" w:hAnsi="宋体" w:cs="宋体" w:eastAsia="宋体"/>
                      <w:sz w:val="28"/>
                    </w:rPr>
                    <w:t>14</w:t>
                  </w:r>
                  <w:r>
                    <w:rPr>
                      <w:rFonts w:ascii="宋体" w:hAnsi="宋体" w:cs="宋体" w:eastAsia="宋体"/>
                      <w:sz w:val="28"/>
                    </w:rPr>
                    <w:t>.</w:t>
                  </w:r>
                  <w:r>
                    <w:rPr>
                      <w:rFonts w:ascii="宋体" w:hAnsi="宋体" w:cs="宋体" w:eastAsia="宋体"/>
                      <w:sz w:val="28"/>
                    </w:rPr>
                    <w:t>按照中限值和评价方法规定，距离设备后方≤0.3m处环境电场强度应≤12V/m；</w:t>
                  </w:r>
                  <w:r>
                    <w:rPr>
                      <w:rFonts w:ascii="宋体" w:hAnsi="宋体" w:cs="宋体" w:eastAsia="宋体"/>
                      <w:sz w:val="28"/>
                    </w:rPr>
                    <w:t>（</w:t>
                  </w:r>
                  <w:r>
                    <w:rPr>
                      <w:rFonts w:ascii="宋体" w:hAnsi="宋体" w:cs="宋体" w:eastAsia="宋体"/>
                      <w:sz w:val="28"/>
                    </w:rPr>
                    <w:t>提供具有</w:t>
                  </w:r>
                  <w:r>
                    <w:rPr>
                      <w:rFonts w:ascii="&quot;times new roman&quot;" w:hAnsi="&quot;times new roman&quot;" w:cs="&quot;times new roman&quot;" w:eastAsia="&quot;times new roman&quot;"/>
                      <w:sz w:val="32"/>
                    </w:rPr>
                    <w:t xml:space="preserve"> </w:t>
                  </w:r>
                  <w:r>
                    <w:rPr>
                      <w:rFonts w:ascii="宋体" w:hAnsi="宋体" w:cs="宋体" w:eastAsia="宋体"/>
                      <w:sz w:val="28"/>
                    </w:rPr>
                    <w:t>CMA</w:t>
                  </w:r>
                  <w:r>
                    <w:rPr>
                      <w:rFonts w:ascii="&quot;times new roman&quot;" w:hAnsi="&quot;times new roman&quot;" w:cs="&quot;times new roman&quot;" w:eastAsia="&quot;times new roman&quot;"/>
                      <w:sz w:val="32"/>
                    </w:rPr>
                    <w:t xml:space="preserve"> </w:t>
                  </w:r>
                  <w:r>
                    <w:rPr>
                      <w:rFonts w:ascii="宋体" w:hAnsi="宋体" w:cs="宋体" w:eastAsia="宋体"/>
                      <w:sz w:val="28"/>
                    </w:rPr>
                    <w:t>和</w:t>
                  </w:r>
                  <w:r>
                    <w:rPr>
                      <w:rFonts w:ascii="&quot;times new roman&quot;" w:hAnsi="&quot;times new roman&quot;" w:cs="&quot;times new roman&quot;" w:eastAsia="&quot;times new roman&quot;"/>
                      <w:sz w:val="32"/>
                    </w:rPr>
                    <w:t xml:space="preserve"> </w:t>
                  </w:r>
                  <w:r>
                    <w:rPr>
                      <w:rFonts w:ascii="宋体" w:hAnsi="宋体" w:cs="宋体" w:eastAsia="宋体"/>
                      <w:sz w:val="28"/>
                    </w:rPr>
                    <w:t>CNAS</w:t>
                  </w:r>
                  <w:r>
                    <w:rPr>
                      <w:rFonts w:ascii="&quot;times new roman&quot;" w:hAnsi="&quot;times new roman&quot;" w:cs="&quot;times new roman&quot;" w:eastAsia="&quot;times new roman&quot;"/>
                      <w:sz w:val="32"/>
                    </w:rPr>
                    <w:t xml:space="preserve"> </w:t>
                  </w:r>
                  <w:r>
                    <w:rPr>
                      <w:rFonts w:ascii="宋体" w:hAnsi="宋体" w:cs="宋体" w:eastAsia="宋体"/>
                      <w:sz w:val="28"/>
                    </w:rPr>
                    <w:t>标志的产品检</w:t>
                  </w:r>
                  <w:r>
                    <w:rPr>
                      <w:rFonts w:ascii="宋体" w:hAnsi="宋体" w:cs="宋体" w:eastAsia="宋体"/>
                      <w:sz w:val="28"/>
                    </w:rPr>
                    <w:t>测</w:t>
                  </w:r>
                  <w:r>
                    <w:rPr>
                      <w:rFonts w:ascii="宋体" w:hAnsi="宋体" w:cs="宋体" w:eastAsia="宋体"/>
                      <w:sz w:val="28"/>
                    </w:rPr>
                    <w:t>报告复印件并加盖投标人公章证明）</w:t>
                  </w:r>
                </w:p>
                <w:p>
                  <w:pPr>
                    <w:pStyle w:val="null3"/>
                    <w:spacing w:before="60"/>
                    <w:jc w:val="left"/>
                  </w:pPr>
                  <w:r>
                    <w:rPr>
                      <w:rFonts w:ascii="宋体" w:hAnsi="宋体" w:cs="宋体" w:eastAsia="宋体"/>
                      <w:sz w:val="28"/>
                    </w:rPr>
                    <w:t>●</w:t>
                  </w:r>
                  <w:r>
                    <w:rPr>
                      <w:rFonts w:ascii="宋体" w:hAnsi="宋体" w:cs="宋体" w:eastAsia="宋体"/>
                      <w:sz w:val="28"/>
                    </w:rPr>
                    <w:t>15</w:t>
                  </w:r>
                  <w:r>
                    <w:rPr>
                      <w:rFonts w:ascii="宋体" w:hAnsi="宋体" w:cs="宋体" w:eastAsia="宋体"/>
                      <w:sz w:val="28"/>
                    </w:rPr>
                    <w:t>.</w:t>
                  </w:r>
                  <w:r>
                    <w:rPr>
                      <w:rFonts w:ascii="宋体" w:hAnsi="宋体" w:cs="宋体" w:eastAsia="宋体"/>
                      <w:sz w:val="28"/>
                    </w:rPr>
                    <w:t>支持连接移动终端，APP可调用摄像头进行视频取证；</w:t>
                  </w:r>
                </w:p>
                <w:p>
                  <w:pPr>
                    <w:pStyle w:val="null3"/>
                    <w:jc w:val="left"/>
                  </w:pPr>
                  <w:r>
                    <w:rPr>
                      <w:rFonts w:ascii="宋体" w:hAnsi="宋体" w:cs="宋体" w:eastAsia="宋体"/>
                      <w:sz w:val="28"/>
                    </w:rPr>
                    <w:t>●</w:t>
                  </w:r>
                  <w:r>
                    <w:rPr>
                      <w:rFonts w:ascii="宋体" w:hAnsi="宋体" w:cs="宋体" w:eastAsia="宋体"/>
                      <w:sz w:val="28"/>
                    </w:rPr>
                    <w:t>16</w:t>
                  </w:r>
                  <w:r>
                    <w:rPr>
                      <w:rFonts w:ascii="宋体" w:hAnsi="宋体" w:cs="宋体" w:eastAsia="宋体"/>
                      <w:sz w:val="28"/>
                    </w:rPr>
                    <w:t>.</w:t>
                  </w:r>
                  <w:r>
                    <w:rPr>
                      <w:rFonts w:ascii="宋体" w:hAnsi="宋体" w:cs="宋体" w:eastAsia="宋体"/>
                      <w:sz w:val="28"/>
                    </w:rPr>
                    <w:t>支持黑白名单功能；</w:t>
                  </w:r>
                </w:p>
                <w:p>
                  <w:pPr>
                    <w:pStyle w:val="null3"/>
                    <w:jc w:val="left"/>
                  </w:pPr>
                  <w:r>
                    <w:rPr>
                      <w:rFonts w:ascii="宋体" w:hAnsi="宋体" w:cs="宋体" w:eastAsia="宋体"/>
                      <w:sz w:val="28"/>
                    </w:rPr>
                    <w:t>●</w:t>
                  </w:r>
                  <w:r>
                    <w:rPr>
                      <w:rFonts w:ascii="宋体" w:hAnsi="宋体" w:cs="宋体" w:eastAsia="宋体"/>
                      <w:sz w:val="28"/>
                    </w:rPr>
                    <w:t>17</w:t>
                  </w:r>
                  <w:r>
                    <w:rPr>
                      <w:rFonts w:ascii="宋体" w:hAnsi="宋体" w:cs="宋体" w:eastAsia="宋体"/>
                      <w:sz w:val="28"/>
                    </w:rPr>
                    <w:t>.</w:t>
                  </w:r>
                  <w:r>
                    <w:rPr>
                      <w:rFonts w:ascii="宋体" w:hAnsi="宋体" w:cs="宋体" w:eastAsia="宋体"/>
                      <w:sz w:val="28"/>
                    </w:rPr>
                    <w:t>支持多设备组网</w:t>
                  </w:r>
                  <w:r>
                    <w:rPr>
                      <w:rFonts w:ascii="方正仿宋" w:hAnsi="方正仿宋" w:cs="方正仿宋" w:eastAsia="方正仿宋"/>
                      <w:sz w:val="28"/>
                    </w:rPr>
                    <w:t>；</w:t>
                  </w:r>
                </w:p>
                <w:p>
                  <w:pPr>
                    <w:pStyle w:val="null3"/>
                    <w:spacing w:before="60"/>
                    <w:ind w:left="120"/>
                    <w:jc w:val="left"/>
                  </w:pPr>
                  <w:r>
                    <w:rPr>
                      <w:rFonts w:ascii="宋体" w:hAnsi="宋体" w:cs="宋体" w:eastAsia="宋体"/>
                      <w:sz w:val="28"/>
                    </w:rPr>
                    <w:t>●</w:t>
                  </w:r>
                  <w:r>
                    <w:rPr>
                      <w:rFonts w:ascii="宋体" w:hAnsi="宋体" w:cs="宋体" w:eastAsia="宋体"/>
                      <w:sz w:val="28"/>
                    </w:rPr>
                    <w:t>18</w:t>
                  </w:r>
                  <w:r>
                    <w:rPr>
                      <w:rFonts w:ascii="宋体" w:hAnsi="宋体" w:cs="宋体" w:eastAsia="宋体"/>
                      <w:sz w:val="28"/>
                    </w:rPr>
                    <w:t>.</w:t>
                  </w:r>
                  <w:r>
                    <w:rPr>
                      <w:rFonts w:ascii="宋体" w:hAnsi="宋体" w:cs="宋体" w:eastAsia="宋体"/>
                      <w:sz w:val="28"/>
                    </w:rPr>
                    <w:t>支持对设备直接充电或对电池充电；</w:t>
                  </w:r>
                </w:p>
                <w:p>
                  <w:pPr>
                    <w:pStyle w:val="null3"/>
                    <w:spacing w:before="60"/>
                    <w:ind w:left="120"/>
                    <w:jc w:val="left"/>
                  </w:pPr>
                  <w:r>
                    <w:rPr>
                      <w:rFonts w:ascii="宋体" w:hAnsi="宋体" w:cs="宋体" w:eastAsia="宋体"/>
                      <w:sz w:val="28"/>
                    </w:rPr>
                    <w:t>●</w:t>
                  </w:r>
                  <w:r>
                    <w:rPr>
                      <w:rFonts w:ascii="宋体" w:hAnsi="宋体" w:cs="宋体" w:eastAsia="宋体"/>
                      <w:sz w:val="28"/>
                    </w:rPr>
                    <w:t>19</w:t>
                  </w:r>
                  <w:r>
                    <w:rPr>
                      <w:rFonts w:ascii="宋体" w:hAnsi="宋体" w:cs="宋体" w:eastAsia="宋体"/>
                      <w:sz w:val="28"/>
                    </w:rPr>
                    <w:t>.</w:t>
                  </w:r>
                  <w:r>
                    <w:rPr>
                      <w:rFonts w:ascii="宋体" w:hAnsi="宋体" w:cs="宋体" w:eastAsia="宋体"/>
                      <w:sz w:val="28"/>
                    </w:rPr>
                    <w:t>有充电防过冲保护功能；</w:t>
                  </w:r>
                </w:p>
                <w:p>
                  <w:pPr>
                    <w:pStyle w:val="null3"/>
                    <w:spacing w:before="60"/>
                    <w:ind w:left="120"/>
                    <w:jc w:val="left"/>
                  </w:pPr>
                  <w:r>
                    <w:rPr>
                      <w:rFonts w:ascii="宋体" w:hAnsi="宋体" w:cs="宋体" w:eastAsia="宋体"/>
                      <w:sz w:val="28"/>
                    </w:rPr>
                    <w:t>●</w:t>
                  </w:r>
                  <w:r>
                    <w:rPr>
                      <w:rFonts w:ascii="宋体" w:hAnsi="宋体" w:cs="宋体" w:eastAsia="宋体"/>
                      <w:sz w:val="28"/>
                    </w:rPr>
                    <w:t>20</w:t>
                  </w:r>
                  <w:r>
                    <w:rPr>
                      <w:rFonts w:ascii="宋体" w:hAnsi="宋体" w:cs="宋体" w:eastAsia="宋体"/>
                      <w:sz w:val="28"/>
                    </w:rPr>
                    <w:t>.</w:t>
                  </w:r>
                  <w:r>
                    <w:rPr>
                      <w:rFonts w:ascii="宋体" w:hAnsi="宋体" w:cs="宋体" w:eastAsia="宋体"/>
                      <w:sz w:val="28"/>
                    </w:rPr>
                    <w:t>支持背负式或三脚架式；</w:t>
                  </w:r>
                </w:p>
                <w:p>
                  <w:pPr>
                    <w:pStyle w:val="null3"/>
                    <w:spacing w:before="45"/>
                    <w:ind w:left="120"/>
                    <w:jc w:val="left"/>
                  </w:pPr>
                  <w:r>
                    <w:rPr>
                      <w:rFonts w:ascii="宋体" w:hAnsi="宋体" w:cs="宋体" w:eastAsia="宋体"/>
                      <w:sz w:val="28"/>
                    </w:rPr>
                    <w:t>●</w:t>
                  </w:r>
                  <w:r>
                    <w:rPr>
                      <w:rFonts w:ascii="宋体" w:hAnsi="宋体" w:cs="宋体" w:eastAsia="宋体"/>
                      <w:sz w:val="28"/>
                    </w:rPr>
                    <w:t>21</w:t>
                  </w:r>
                  <w:r>
                    <w:rPr>
                      <w:rFonts w:ascii="宋体" w:hAnsi="宋体" w:cs="宋体" w:eastAsia="宋体"/>
                      <w:sz w:val="28"/>
                    </w:rPr>
                    <w:t>.</w:t>
                  </w:r>
                  <w:r>
                    <w:rPr>
                      <w:rFonts w:ascii="宋体" w:hAnsi="宋体" w:cs="宋体" w:eastAsia="宋体"/>
                      <w:sz w:val="28"/>
                    </w:rPr>
                    <w:t>满足室外各种天气情况使用。</w:t>
                  </w:r>
                </w:p>
                <w:p>
                  <w:pPr>
                    <w:pStyle w:val="null3"/>
                    <w:spacing w:before="45"/>
                    <w:ind w:left="120"/>
                    <w:jc w:val="left"/>
                  </w:pPr>
                  <w:r>
                    <w:rPr>
                      <w:rFonts w:ascii="宋体" w:hAnsi="宋体" w:cs="宋体" w:eastAsia="宋体"/>
                      <w:sz w:val="28"/>
                    </w:rPr>
                    <w:t>●</w:t>
                  </w:r>
                  <w:r>
                    <w:rPr>
                      <w:rFonts w:ascii="宋体" w:hAnsi="宋体" w:cs="宋体" w:eastAsia="宋体"/>
                      <w:sz w:val="28"/>
                    </w:rPr>
                    <w:t>22.</w:t>
                  </w:r>
                  <w:r>
                    <w:rPr>
                      <w:rFonts w:ascii="宋体" w:hAnsi="宋体" w:cs="宋体" w:eastAsia="宋体"/>
                      <w:sz w:val="28"/>
                    </w:rPr>
                    <w:t>至少有一块与原</w:t>
                  </w:r>
                  <w:r>
                    <w:rPr>
                      <w:rFonts w:ascii="宋体" w:hAnsi="宋体" w:cs="宋体" w:eastAsia="宋体"/>
                      <w:sz w:val="28"/>
                    </w:rPr>
                    <w:t>机相同</w:t>
                  </w:r>
                  <w:r>
                    <w:rPr>
                      <w:rFonts w:ascii="宋体" w:hAnsi="宋体" w:cs="宋体" w:eastAsia="宋体"/>
                      <w:sz w:val="28"/>
                    </w:rPr>
                    <w:t>的备用电池。</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宋体" w:hAnsi="宋体" w:cs="宋体" w:eastAsia="宋体"/>
                      <w:sz w:val="28"/>
                    </w:rPr>
                    <w:t>3</w:t>
                  </w:r>
                </w:p>
              </w:tc>
              <w:tc>
                <w:tcPr>
                  <w:tcW w:type="dxa" w:w="346"/>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宋体" w:hAnsi="宋体" w:cs="宋体" w:eastAsia="宋体"/>
                      <w:sz w:val="28"/>
                    </w:rPr>
                    <w:t>便携式反制设</w:t>
                  </w:r>
                  <w:r>
                    <w:rPr>
                      <w:rFonts w:ascii="宋体" w:hAnsi="宋体" w:cs="宋体" w:eastAsia="宋体"/>
                      <w:sz w:val="28"/>
                    </w:rPr>
                    <w:t>备</w:t>
                  </w:r>
                </w:p>
              </w:tc>
              <w:tc>
                <w:tcPr>
                  <w:tcW w:type="dxa" w:w="1998"/>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ind w:left="120" w:right="120" w:firstLine="2"/>
                    <w:jc w:val="both"/>
                  </w:pPr>
                  <w:r>
                    <w:rPr>
                      <w:rFonts w:ascii="宋体" w:hAnsi="宋体" w:cs="宋体" w:eastAsia="宋体"/>
                      <w:sz w:val="28"/>
                    </w:rPr>
                    <w:t>●</w:t>
                  </w:r>
                  <w:r>
                    <w:rPr>
                      <w:rFonts w:ascii="宋体" w:hAnsi="宋体" w:cs="宋体" w:eastAsia="宋体"/>
                      <w:sz w:val="28"/>
                    </w:rPr>
                    <w:t>1.模块化设计：设备由主机、手柄、瞄准镜、电池、背</w:t>
                  </w:r>
                  <w:r>
                    <w:rPr>
                      <w:rFonts w:ascii="宋体" w:hAnsi="宋体" w:cs="宋体" w:eastAsia="宋体"/>
                      <w:sz w:val="28"/>
                    </w:rPr>
                    <w:t>带模</w:t>
                  </w:r>
                  <w:r>
                    <w:rPr>
                      <w:rFonts w:ascii="宋体" w:hAnsi="宋体" w:cs="宋体" w:eastAsia="宋体"/>
                      <w:sz w:val="28"/>
                    </w:rPr>
                    <w:t>块，各模块可拆卸</w:t>
                  </w:r>
                  <w:r>
                    <w:rPr>
                      <w:rFonts w:ascii="宋体" w:hAnsi="宋体" w:cs="宋体" w:eastAsia="宋体"/>
                      <w:sz w:val="28"/>
                    </w:rPr>
                    <w:t>；</w:t>
                  </w:r>
                </w:p>
                <w:p>
                  <w:pPr>
                    <w:pStyle w:val="null3"/>
                    <w:spacing w:before="45"/>
                    <w:ind w:left="120"/>
                    <w:jc w:val="left"/>
                  </w:pPr>
                  <w:r>
                    <w:rPr>
                      <w:rFonts w:ascii="宋体" w:hAnsi="宋体" w:cs="宋体" w:eastAsia="宋体"/>
                      <w:sz w:val="28"/>
                    </w:rPr>
                    <w:t>●</w:t>
                  </w:r>
                  <w:r>
                    <w:rPr>
                      <w:rFonts w:ascii="宋体" w:hAnsi="宋体" w:cs="宋体" w:eastAsia="宋体"/>
                      <w:sz w:val="28"/>
                    </w:rPr>
                    <w:t>2.主机尺寸：</w:t>
                  </w:r>
                  <w:r>
                    <w:rPr/>
                    <w:t xml:space="preserve"> </w:t>
                  </w:r>
                  <w:r>
                    <w:rPr>
                      <w:rFonts w:ascii="宋体" w:hAnsi="宋体" w:cs="宋体" w:eastAsia="宋体"/>
                      <w:sz w:val="28"/>
                    </w:rPr>
                    <w:t>≤长</w:t>
                  </w:r>
                  <w:r>
                    <w:rPr/>
                    <w:t xml:space="preserve"> </w:t>
                  </w:r>
                  <w:r>
                    <w:rPr>
                      <w:rFonts w:ascii="宋体" w:hAnsi="宋体" w:cs="宋体" w:eastAsia="宋体"/>
                      <w:sz w:val="28"/>
                    </w:rPr>
                    <w:t>700</w:t>
                  </w:r>
                  <w:r>
                    <w:rPr>
                      <w:rFonts w:ascii="宋体" w:hAnsi="宋体" w:cs="宋体" w:eastAsia="宋体"/>
                      <w:sz w:val="28"/>
                    </w:rPr>
                    <w:t>mm</w:t>
                  </w:r>
                  <w:r>
                    <w:rPr>
                      <w:rFonts w:ascii="宋体" w:hAnsi="宋体" w:cs="宋体" w:eastAsia="宋体"/>
                      <w:sz w:val="28"/>
                    </w:rPr>
                    <w:t>×厚</w:t>
                  </w:r>
                  <w:r>
                    <w:rPr/>
                    <w:t xml:space="preserve"> </w:t>
                  </w:r>
                  <w:r>
                    <w:rPr>
                      <w:rFonts w:ascii="宋体" w:hAnsi="宋体" w:cs="宋体" w:eastAsia="宋体"/>
                      <w:sz w:val="28"/>
                    </w:rPr>
                    <w:t>100</w:t>
                  </w:r>
                  <w:r>
                    <w:rPr>
                      <w:rFonts w:ascii="宋体" w:hAnsi="宋体" w:cs="宋体" w:eastAsia="宋体"/>
                      <w:sz w:val="28"/>
                    </w:rPr>
                    <w:t>mm</w:t>
                  </w:r>
                  <w:r>
                    <w:rPr>
                      <w:rFonts w:ascii="宋体" w:hAnsi="宋体" w:cs="宋体" w:eastAsia="宋体"/>
                      <w:sz w:val="28"/>
                    </w:rPr>
                    <w:t>×高</w:t>
                  </w:r>
                  <w:r>
                    <w:rPr/>
                    <w:t xml:space="preserve"> </w:t>
                  </w:r>
                  <w:r>
                    <w:rPr>
                      <w:rFonts w:ascii="宋体" w:hAnsi="宋体" w:cs="宋体" w:eastAsia="宋体"/>
                      <w:sz w:val="28"/>
                    </w:rPr>
                    <w:t>290</w:t>
                  </w:r>
                  <w:r>
                    <w:rPr>
                      <w:rFonts w:ascii="宋体" w:hAnsi="宋体" w:cs="宋体" w:eastAsia="宋体"/>
                      <w:sz w:val="28"/>
                    </w:rPr>
                    <w:t>mm</w:t>
                  </w:r>
                  <w:r>
                    <w:rPr>
                      <w:rFonts w:ascii="宋体" w:hAnsi="宋体" w:cs="宋体" w:eastAsia="宋体"/>
                      <w:sz w:val="28"/>
                    </w:rPr>
                    <w:t>；</w:t>
                  </w:r>
                </w:p>
                <w:p>
                  <w:pPr>
                    <w:pStyle w:val="null3"/>
                    <w:ind w:left="120"/>
                    <w:jc w:val="left"/>
                  </w:pPr>
                  <w:r>
                    <w:rPr>
                      <w:rFonts w:ascii="宋体" w:hAnsi="宋体" w:cs="宋体" w:eastAsia="宋体"/>
                      <w:sz w:val="28"/>
                    </w:rPr>
                    <w:t>●</w:t>
                  </w:r>
                  <w:r>
                    <w:rPr>
                      <w:rFonts w:ascii="宋体" w:hAnsi="宋体" w:cs="宋体" w:eastAsia="宋体"/>
                      <w:sz w:val="28"/>
                    </w:rPr>
                    <w:t>3.</w:t>
                  </w:r>
                  <w:r>
                    <w:rPr>
                      <w:rFonts w:ascii="宋体" w:hAnsi="宋体" w:cs="宋体" w:eastAsia="宋体"/>
                      <w:sz w:val="28"/>
                    </w:rPr>
                    <w:t>整机重量（含电池）：≤5kg</w:t>
                  </w:r>
                  <w:r>
                    <w:rPr>
                      <w:rFonts w:ascii="宋体" w:hAnsi="宋体" w:cs="宋体" w:eastAsia="宋体"/>
                      <w:sz w:val="28"/>
                    </w:rPr>
                    <w:t>；</w:t>
                  </w:r>
                </w:p>
                <w:p>
                  <w:pPr>
                    <w:pStyle w:val="null3"/>
                    <w:spacing w:before="45"/>
                    <w:ind w:left="120" w:right="120" w:firstLine="2"/>
                    <w:jc w:val="both"/>
                  </w:pPr>
                  <w:r>
                    <w:rPr>
                      <w:rFonts w:ascii="宋体" w:hAnsi="宋体" w:cs="宋体" w:eastAsia="宋体"/>
                      <w:sz w:val="28"/>
                    </w:rPr>
                    <w:t>●</w:t>
                  </w:r>
                  <w:r>
                    <w:rPr>
                      <w:rFonts w:ascii="宋体" w:hAnsi="宋体" w:cs="宋体" w:eastAsia="宋体"/>
                      <w:sz w:val="28"/>
                    </w:rPr>
                    <w:t>4.快速反应功能：主机具备发射按键，可在安装电池.不安</w:t>
                  </w:r>
                  <w:r>
                    <w:rPr>
                      <w:rFonts w:ascii="宋体" w:hAnsi="宋体" w:cs="宋体" w:eastAsia="宋体"/>
                      <w:sz w:val="28"/>
                    </w:rPr>
                    <w:t>装发射手柄的条件下发射干扰信号</w:t>
                  </w:r>
                  <w:r>
                    <w:rPr>
                      <w:rFonts w:ascii="宋体" w:hAnsi="宋体" w:cs="宋体" w:eastAsia="宋体"/>
                      <w:sz w:val="28"/>
                    </w:rPr>
                    <w:t>；</w:t>
                  </w:r>
                </w:p>
                <w:p>
                  <w:pPr>
                    <w:pStyle w:val="null3"/>
                    <w:spacing w:before="45"/>
                    <w:ind w:left="120" w:right="45"/>
                    <w:jc w:val="left"/>
                  </w:pPr>
                  <w:r>
                    <w:rPr>
                      <w:rFonts w:ascii="宋体" w:hAnsi="宋体" w:cs="宋体" w:eastAsia="宋体"/>
                      <w:sz w:val="28"/>
                    </w:rPr>
                    <w:t>●</w:t>
                  </w:r>
                  <w:r>
                    <w:rPr>
                      <w:rFonts w:ascii="宋体" w:hAnsi="宋体" w:cs="宋体" w:eastAsia="宋体"/>
                      <w:sz w:val="28"/>
                    </w:rPr>
                    <w:t>5.供电：采用内置可充电电池供电，电池具有</w:t>
                  </w:r>
                  <w:r>
                    <w:rPr/>
                    <w:t xml:space="preserve"> </w:t>
                  </w:r>
                  <w:r>
                    <w:rPr>
                      <w:rFonts w:ascii="宋体" w:hAnsi="宋体" w:cs="宋体" w:eastAsia="宋体"/>
                      <w:sz w:val="28"/>
                    </w:rPr>
                    <w:t>电量指示灯，</w:t>
                  </w:r>
                  <w:r>
                    <w:rPr/>
                    <w:t xml:space="preserve"> </w:t>
                  </w:r>
                  <w:r>
                    <w:rPr>
                      <w:rFonts w:ascii="宋体" w:hAnsi="宋体" w:cs="宋体" w:eastAsia="宋体"/>
                      <w:sz w:val="28"/>
                    </w:rPr>
                    <w:t>可指示剩余电量；</w:t>
                  </w:r>
                </w:p>
                <w:p>
                  <w:pPr>
                    <w:pStyle w:val="null3"/>
                    <w:spacing w:before="45"/>
                    <w:ind w:left="105" w:right="120" w:firstLine="11"/>
                    <w:jc w:val="left"/>
                  </w:pPr>
                  <w:r>
                    <w:rPr>
                      <w:rFonts w:ascii="宋体" w:hAnsi="宋体" w:cs="宋体" w:eastAsia="宋体"/>
                      <w:sz w:val="28"/>
                    </w:rPr>
                    <w:t>▲6.</w:t>
                  </w:r>
                  <w:r>
                    <w:rPr/>
                    <w:t xml:space="preserve"> </w:t>
                  </w:r>
                  <w:r>
                    <w:rPr>
                      <w:rFonts w:ascii="宋体" w:hAnsi="宋体" w:cs="宋体" w:eastAsia="宋体"/>
                      <w:sz w:val="28"/>
                    </w:rPr>
                    <w:t>电池自保护功能：电池模块在未安装到主机上的条件下按</w:t>
                  </w:r>
                  <w:r>
                    <w:rPr>
                      <w:rFonts w:ascii="宋体" w:hAnsi="宋体" w:cs="宋体" w:eastAsia="宋体"/>
                      <w:sz w:val="28"/>
                    </w:rPr>
                    <w:t>下电源键，电池应无放电，输出端口无电压输出。（提供具有</w:t>
                  </w:r>
                  <w:r>
                    <w:rPr/>
                    <w:t xml:space="preserve"> </w:t>
                  </w:r>
                  <w:r>
                    <w:rPr>
                      <w:rFonts w:ascii="宋体" w:hAnsi="宋体" w:cs="宋体" w:eastAsia="宋体"/>
                      <w:sz w:val="28"/>
                    </w:rPr>
                    <w:t>CMA</w:t>
                  </w:r>
                  <w:r>
                    <w:rPr/>
                    <w:t xml:space="preserve"> </w:t>
                  </w:r>
                  <w:r>
                    <w:rPr>
                      <w:rFonts w:ascii="宋体" w:hAnsi="宋体" w:cs="宋体" w:eastAsia="宋体"/>
                      <w:sz w:val="28"/>
                    </w:rPr>
                    <w:t>和</w:t>
                  </w:r>
                  <w:r>
                    <w:rPr/>
                    <w:t xml:space="preserve"> </w:t>
                  </w:r>
                  <w:r>
                    <w:rPr>
                      <w:rFonts w:ascii="宋体" w:hAnsi="宋体" w:cs="宋体" w:eastAsia="宋体"/>
                      <w:sz w:val="28"/>
                    </w:rPr>
                    <w:t>CNAS</w:t>
                  </w:r>
                  <w:r>
                    <w:rPr/>
                    <w:t xml:space="preserve"> </w:t>
                  </w:r>
                  <w:r>
                    <w:rPr>
                      <w:rFonts w:ascii="宋体" w:hAnsi="宋体" w:cs="宋体" w:eastAsia="宋体"/>
                      <w:sz w:val="28"/>
                    </w:rPr>
                    <w:t>标志的产品检测报告复印件并加盖投标人公章证</w:t>
                  </w:r>
                  <w:r>
                    <w:rPr>
                      <w:rFonts w:ascii="宋体" w:hAnsi="宋体" w:cs="宋体" w:eastAsia="宋体"/>
                      <w:sz w:val="28"/>
                    </w:rPr>
                    <w:t>明</w:t>
                  </w:r>
                  <w:r>
                    <w:rPr>
                      <w:rFonts w:ascii="宋体" w:hAnsi="宋体" w:cs="宋体" w:eastAsia="宋体"/>
                      <w:sz w:val="28"/>
                    </w:rPr>
                    <w:t>）；</w:t>
                  </w:r>
                </w:p>
                <w:p>
                  <w:pPr>
                    <w:pStyle w:val="null3"/>
                    <w:spacing w:before="45"/>
                    <w:ind w:left="120" w:right="330"/>
                    <w:jc w:val="left"/>
                  </w:pPr>
                  <w:r>
                    <w:rPr>
                      <w:rFonts w:ascii="宋体" w:hAnsi="宋体" w:cs="宋体" w:eastAsia="宋体"/>
                      <w:sz w:val="28"/>
                    </w:rPr>
                    <w:t>●</w:t>
                  </w:r>
                  <w:r>
                    <w:rPr>
                      <w:rFonts w:ascii="宋体" w:hAnsi="宋体" w:cs="宋体" w:eastAsia="宋体"/>
                      <w:sz w:val="28"/>
                    </w:rPr>
                    <w:t>7.反制器具备使无人机返回起航点和无人机原地降落两种干扰模式（若被干扰无人机支持失联返航和失联降落功能）</w:t>
                  </w:r>
                </w:p>
                <w:p>
                  <w:pPr>
                    <w:pStyle w:val="null3"/>
                    <w:spacing w:before="45"/>
                    <w:ind w:left="120"/>
                    <w:jc w:val="left"/>
                  </w:pPr>
                  <w:r>
                    <w:rPr>
                      <w:rFonts w:ascii="宋体" w:hAnsi="宋体" w:cs="宋体" w:eastAsia="宋体"/>
                      <w:sz w:val="28"/>
                    </w:rPr>
                    <w:t>●</w:t>
                  </w:r>
                  <w:r>
                    <w:rPr>
                      <w:rFonts w:ascii="宋体" w:hAnsi="宋体" w:cs="宋体" w:eastAsia="宋体"/>
                      <w:sz w:val="28"/>
                    </w:rPr>
                    <w:t>8.干扰距离应≥</w:t>
                  </w:r>
                  <w:r>
                    <w:rPr>
                      <w:rFonts w:ascii="宋体" w:hAnsi="宋体" w:cs="宋体" w:eastAsia="宋体"/>
                      <w:sz w:val="28"/>
                    </w:rPr>
                    <w:t>1</w:t>
                  </w:r>
                  <w:r>
                    <w:rPr>
                      <w:rFonts w:ascii="宋体" w:hAnsi="宋体" w:cs="宋体" w:eastAsia="宋体"/>
                      <w:sz w:val="28"/>
                    </w:rPr>
                    <w:t>km</w:t>
                  </w:r>
                  <w:r>
                    <w:rPr>
                      <w:rFonts w:ascii="宋体" w:hAnsi="宋体" w:cs="宋体" w:eastAsia="宋体"/>
                      <w:sz w:val="28"/>
                    </w:rPr>
                    <w:t>；</w:t>
                  </w:r>
                </w:p>
                <w:p>
                  <w:pPr>
                    <w:pStyle w:val="null3"/>
                    <w:spacing w:before="45"/>
                    <w:ind w:left="120"/>
                    <w:jc w:val="left"/>
                  </w:pPr>
                  <w:r>
                    <w:rPr>
                      <w:rFonts w:ascii="宋体" w:hAnsi="宋体" w:cs="宋体" w:eastAsia="宋体"/>
                      <w:sz w:val="28"/>
                    </w:rPr>
                    <w:t>●</w:t>
                  </w:r>
                  <w:r>
                    <w:rPr>
                      <w:rFonts w:ascii="宋体" w:hAnsi="宋体" w:cs="宋体" w:eastAsia="宋体"/>
                      <w:sz w:val="28"/>
                    </w:rPr>
                    <w:t>9.作用角度：水平±15</w:t>
                  </w:r>
                  <w:r>
                    <w:rPr/>
                    <w:t xml:space="preserve"> </w:t>
                  </w:r>
                  <w:r>
                    <w:rPr>
                      <w:rFonts w:ascii="宋体" w:hAnsi="宋体" w:cs="宋体" w:eastAsia="宋体"/>
                      <w:sz w:val="28"/>
                    </w:rPr>
                    <w:t>°</w:t>
                  </w:r>
                  <w:r>
                    <w:rPr/>
                    <w:t xml:space="preserve"> </w:t>
                  </w:r>
                  <w:r>
                    <w:rPr>
                      <w:rFonts w:ascii="宋体" w:hAnsi="宋体" w:cs="宋体" w:eastAsia="宋体"/>
                      <w:sz w:val="28"/>
                    </w:rPr>
                    <w:t>,</w:t>
                  </w:r>
                  <w:r>
                    <w:rPr/>
                    <w:t xml:space="preserve"> </w:t>
                  </w:r>
                  <w:r>
                    <w:rPr>
                      <w:rFonts w:ascii="宋体" w:hAnsi="宋体" w:cs="宋体" w:eastAsia="宋体"/>
                      <w:sz w:val="28"/>
                    </w:rPr>
                    <w:t>垂直±15</w:t>
                  </w:r>
                  <w:r>
                    <w:rPr/>
                    <w:t xml:space="preserve"> </w:t>
                  </w:r>
                  <w:r>
                    <w:rPr>
                      <w:rFonts w:ascii="宋体" w:hAnsi="宋体" w:cs="宋体" w:eastAsia="宋体"/>
                      <w:sz w:val="28"/>
                    </w:rPr>
                    <w:t>°</w:t>
                  </w:r>
                  <w:r>
                    <w:rPr/>
                    <w:t xml:space="preserve"> </w:t>
                  </w:r>
                  <w:r>
                    <w:rPr>
                      <w:rFonts w:ascii="宋体" w:hAnsi="宋体" w:cs="宋体" w:eastAsia="宋体"/>
                      <w:sz w:val="28"/>
                    </w:rPr>
                    <w:t>;</w:t>
                  </w:r>
                </w:p>
                <w:p>
                  <w:pPr>
                    <w:pStyle w:val="null3"/>
                    <w:spacing w:before="45"/>
                    <w:jc w:val="left"/>
                  </w:pPr>
                  <w:r>
                    <w:rPr>
                      <w:rFonts w:ascii="宋体" w:hAnsi="宋体" w:cs="宋体" w:eastAsia="宋体"/>
                      <w:sz w:val="28"/>
                    </w:rPr>
                    <w:t>●</w:t>
                  </w:r>
                  <w:r>
                    <w:rPr>
                      <w:rFonts w:ascii="宋体" w:hAnsi="宋体" w:cs="宋体" w:eastAsia="宋体"/>
                      <w:sz w:val="28"/>
                    </w:rPr>
                    <w:t>10.干扰频段：频道 1（820~950MHz</w:t>
                  </w:r>
                  <w:r>
                    <w:rPr>
                      <w:rFonts w:ascii="宋体" w:hAnsi="宋体" w:cs="宋体" w:eastAsia="宋体"/>
                      <w:sz w:val="28"/>
                    </w:rPr>
                    <w:t>），</w:t>
                  </w:r>
                  <w:r>
                    <w:rPr>
                      <w:rFonts w:ascii="宋体" w:hAnsi="宋体" w:cs="宋体" w:eastAsia="宋体"/>
                      <w:sz w:val="28"/>
                    </w:rPr>
                    <w:t>频道</w:t>
                  </w:r>
                  <w:r>
                    <w:rPr/>
                    <w:t xml:space="preserve"> </w:t>
                  </w:r>
                  <w:r>
                    <w:rPr>
                      <w:rFonts w:ascii="宋体" w:hAnsi="宋体" w:cs="宋体" w:eastAsia="宋体"/>
                      <w:sz w:val="28"/>
                    </w:rPr>
                    <w:t>2</w:t>
                  </w:r>
                  <w:r>
                    <w:rPr>
                      <w:rFonts w:ascii="宋体" w:hAnsi="宋体" w:cs="宋体" w:eastAsia="宋体"/>
                      <w:sz w:val="28"/>
                    </w:rPr>
                    <w:t>（1</w:t>
                  </w:r>
                  <w:r>
                    <w:rPr>
                      <w:rFonts w:ascii="宋体" w:hAnsi="宋体" w:cs="宋体" w:eastAsia="宋体"/>
                      <w:sz w:val="28"/>
                    </w:rPr>
                    <w:t>430</w:t>
                  </w:r>
                  <w:r>
                    <w:rPr>
                      <w:rFonts w:ascii="宋体" w:hAnsi="宋体" w:cs="宋体" w:eastAsia="宋体"/>
                      <w:sz w:val="28"/>
                    </w:rPr>
                    <w:t>~1635MHz</w:t>
                  </w:r>
                  <w:r>
                    <w:rPr>
                      <w:rFonts w:ascii="宋体" w:hAnsi="宋体" w:cs="宋体" w:eastAsia="宋体"/>
                      <w:sz w:val="28"/>
                    </w:rPr>
                    <w:t>），</w:t>
                  </w:r>
                  <w:r>
                    <w:rPr>
                      <w:rFonts w:ascii="宋体" w:hAnsi="宋体" w:cs="宋体" w:eastAsia="宋体"/>
                      <w:sz w:val="28"/>
                    </w:rPr>
                    <w:t>频道</w:t>
                  </w:r>
                  <w:r>
                    <w:rPr/>
                    <w:t xml:space="preserve"> </w:t>
                  </w:r>
                  <w:r>
                    <w:rPr>
                      <w:rFonts w:ascii="宋体" w:hAnsi="宋体" w:cs="宋体" w:eastAsia="宋体"/>
                      <w:sz w:val="28"/>
                    </w:rPr>
                    <w:t>3（2390~2515</w:t>
                  </w:r>
                  <w:r>
                    <w:rPr>
                      <w:rFonts w:ascii="宋体" w:hAnsi="宋体" w:cs="宋体" w:eastAsia="宋体"/>
                      <w:sz w:val="28"/>
                    </w:rPr>
                    <w:t>MHz</w:t>
                  </w:r>
                  <w:r>
                    <w:rPr>
                      <w:rFonts w:ascii="宋体" w:hAnsi="宋体" w:cs="宋体" w:eastAsia="宋体"/>
                      <w:sz w:val="28"/>
                    </w:rPr>
                    <w:t>），</w:t>
                  </w:r>
                  <w:r>
                    <w:rPr>
                      <w:rFonts w:ascii="宋体" w:hAnsi="宋体" w:cs="宋体" w:eastAsia="宋体"/>
                      <w:sz w:val="28"/>
                    </w:rPr>
                    <w:t>频道</w:t>
                  </w:r>
                  <w:r>
                    <w:rPr/>
                    <w:t xml:space="preserve"> </w:t>
                  </w:r>
                  <w:r>
                    <w:rPr>
                      <w:rFonts w:ascii="宋体" w:hAnsi="宋体" w:cs="宋体" w:eastAsia="宋体"/>
                      <w:sz w:val="28"/>
                    </w:rPr>
                    <w:t>4（5720~5875</w:t>
                  </w:r>
                  <w:r>
                    <w:rPr>
                      <w:rFonts w:ascii="宋体" w:hAnsi="宋体" w:cs="宋体" w:eastAsia="宋体"/>
                      <w:sz w:val="28"/>
                    </w:rPr>
                    <w:t>MHz</w:t>
                  </w:r>
                  <w:r>
                    <w:rPr>
                      <w:rFonts w:ascii="宋体" w:hAnsi="宋体" w:cs="宋体" w:eastAsia="宋体"/>
                      <w:sz w:val="28"/>
                    </w:rPr>
                    <w:t>）；</w:t>
                  </w:r>
                  <w:r>
                    <w:rPr/>
                    <w:t xml:space="preserve">  </w:t>
                  </w:r>
                </w:p>
                <w:p>
                  <w:pPr>
                    <w:pStyle w:val="null3"/>
                    <w:spacing w:before="45"/>
                    <w:jc w:val="left"/>
                  </w:pPr>
                  <w:r>
                    <w:rPr>
                      <w:rFonts w:ascii="宋体" w:hAnsi="宋体" w:cs="宋体" w:eastAsia="宋体"/>
                      <w:sz w:val="28"/>
                    </w:rPr>
                    <w:t>●</w:t>
                  </w:r>
                  <w:r>
                    <w:rPr>
                      <w:rFonts w:ascii="宋体" w:hAnsi="宋体" w:cs="宋体" w:eastAsia="宋体"/>
                      <w:sz w:val="28"/>
                    </w:rPr>
                    <w:t>11.</w:t>
                  </w:r>
                  <w:r>
                    <w:rPr>
                      <w:rFonts w:ascii="宋体" w:hAnsi="宋体" w:cs="宋体" w:eastAsia="宋体"/>
                      <w:sz w:val="28"/>
                    </w:rPr>
                    <w:t>压制距离比：对无人机进行的有效压制距离比（即</w:t>
                  </w:r>
                  <w:r>
                    <w:rPr>
                      <w:rFonts w:ascii="宋体" w:hAnsi="宋体" w:cs="宋体" w:eastAsia="宋体"/>
                      <w:sz w:val="28"/>
                    </w:rPr>
                    <w:t>有效压</w:t>
                  </w:r>
                  <w:r>
                    <w:rPr>
                      <w:rFonts w:ascii="宋体" w:hAnsi="宋体" w:cs="宋体" w:eastAsia="宋体"/>
                      <w:sz w:val="28"/>
                    </w:rPr>
                    <w:t>制距离与遥控距离的比值）</w:t>
                  </w:r>
                  <w:r>
                    <w:rPr/>
                    <w:t xml:space="preserve"> </w:t>
                  </w:r>
                  <w:r>
                    <w:rPr>
                      <w:rFonts w:ascii="宋体" w:hAnsi="宋体" w:cs="宋体" w:eastAsia="宋体"/>
                      <w:sz w:val="28"/>
                    </w:rPr>
                    <w:t>≥10；</w:t>
                  </w:r>
                </w:p>
                <w:p>
                  <w:pPr>
                    <w:pStyle w:val="null3"/>
                    <w:spacing w:before="45"/>
                    <w:ind w:left="135"/>
                    <w:jc w:val="left"/>
                  </w:pPr>
                  <w:r>
                    <w:rPr>
                      <w:rFonts w:ascii="宋体" w:hAnsi="宋体" w:cs="宋体" w:eastAsia="宋体"/>
                      <w:sz w:val="28"/>
                    </w:rPr>
                    <w:t>●</w:t>
                  </w:r>
                  <w:r>
                    <w:rPr>
                      <w:rFonts w:ascii="宋体" w:hAnsi="宋体" w:cs="宋体" w:eastAsia="宋体"/>
                      <w:sz w:val="28"/>
                    </w:rPr>
                    <w:t>12.全频段持续发射条件下，持续工作时间应≥90</w:t>
                  </w:r>
                  <w:r>
                    <w:rPr>
                      <w:rFonts w:ascii="宋体" w:hAnsi="宋体" w:cs="宋体" w:eastAsia="宋体"/>
                      <w:sz w:val="28"/>
                    </w:rPr>
                    <w:t>min</w:t>
                  </w:r>
                  <w:r>
                    <w:rPr>
                      <w:rFonts w:ascii="宋体" w:hAnsi="宋体" w:cs="宋体" w:eastAsia="宋体"/>
                      <w:sz w:val="28"/>
                    </w:rPr>
                    <w:t>；</w:t>
                  </w:r>
                </w:p>
                <w:p>
                  <w:pPr>
                    <w:pStyle w:val="null3"/>
                    <w:spacing w:before="45"/>
                    <w:ind w:left="135"/>
                    <w:jc w:val="left"/>
                  </w:pPr>
                  <w:r>
                    <w:rPr>
                      <w:rFonts w:ascii="宋体" w:hAnsi="宋体" w:cs="宋体" w:eastAsia="宋体"/>
                      <w:sz w:val="28"/>
                    </w:rPr>
                    <w:t>●</w:t>
                  </w:r>
                  <w:r>
                    <w:rPr>
                      <w:rFonts w:ascii="宋体" w:hAnsi="宋体" w:cs="宋体" w:eastAsia="宋体"/>
                      <w:sz w:val="28"/>
                    </w:rPr>
                    <w:t>13.持续待机时间应≥28h；</w:t>
                  </w:r>
                </w:p>
                <w:p>
                  <w:pPr>
                    <w:pStyle w:val="null3"/>
                    <w:spacing w:before="45"/>
                    <w:ind w:left="135"/>
                    <w:jc w:val="left"/>
                  </w:pPr>
                  <w:r>
                    <w:rPr>
                      <w:rFonts w:ascii="宋体" w:hAnsi="宋体" w:cs="宋体" w:eastAsia="宋体"/>
                      <w:sz w:val="28"/>
                    </w:rPr>
                    <w:t>●</w:t>
                  </w:r>
                  <w:r>
                    <w:rPr>
                      <w:rFonts w:ascii="宋体" w:hAnsi="宋体" w:cs="宋体" w:eastAsia="宋体"/>
                      <w:sz w:val="28"/>
                    </w:rPr>
                    <w:t>14.工作环境：-20℃~+60℃环境下，反制器可以正常工作。</w:t>
                  </w:r>
                </w:p>
                <w:p>
                  <w:pPr>
                    <w:pStyle w:val="null3"/>
                    <w:spacing w:before="45"/>
                    <w:ind w:left="120" w:right="120" w:firstLine="6"/>
                    <w:jc w:val="left"/>
                  </w:pPr>
                  <w:r>
                    <w:rPr>
                      <w:rFonts w:ascii="宋体" w:hAnsi="宋体" w:cs="宋体" w:eastAsia="宋体"/>
                      <w:sz w:val="28"/>
                    </w:rPr>
                    <w:t>▲15.抗振动性：反制器可以在频率（10~1000.</w:t>
                  </w:r>
                  <w:r>
                    <w:rPr>
                      <w:rFonts w:ascii="宋体" w:hAnsi="宋体" w:cs="宋体" w:eastAsia="宋体"/>
                      <w:sz w:val="28"/>
                    </w:rPr>
                    <w:t>Hz</w:t>
                  </w:r>
                  <w:r>
                    <w:rPr>
                      <w:rFonts w:ascii="宋体" w:hAnsi="宋体" w:cs="宋体" w:eastAsia="宋体"/>
                      <w:sz w:val="28"/>
                    </w:rPr>
                    <w:t xml:space="preserve">；加速度≥ </w:t>
                  </w:r>
                  <w:r>
                    <w:rPr>
                      <w:rFonts w:ascii="宋体" w:hAnsi="宋体" w:cs="宋体" w:eastAsia="宋体"/>
                      <w:sz w:val="28"/>
                    </w:rPr>
                    <w:t>23m/s2；3</w:t>
                  </w:r>
                  <w:r>
                    <w:rPr/>
                    <w:t xml:space="preserve"> </w:t>
                  </w:r>
                  <w:r>
                    <w:rPr>
                      <w:rFonts w:ascii="宋体" w:hAnsi="宋体" w:cs="宋体" w:eastAsia="宋体"/>
                      <w:sz w:val="28"/>
                    </w:rPr>
                    <w:t>轴向各</w:t>
                  </w:r>
                  <w:r>
                    <w:rPr/>
                    <w:t xml:space="preserve"> </w:t>
                  </w:r>
                  <w:r>
                    <w:rPr>
                      <w:rFonts w:ascii="宋体" w:hAnsi="宋体" w:cs="宋体" w:eastAsia="宋体"/>
                      <w:sz w:val="28"/>
                    </w:rPr>
                    <w:t>30</w:t>
                  </w:r>
                  <w:r>
                    <w:rPr>
                      <w:rFonts w:ascii="宋体" w:hAnsi="宋体" w:cs="宋体" w:eastAsia="宋体"/>
                      <w:sz w:val="28"/>
                    </w:rPr>
                    <w:t>min</w:t>
                  </w:r>
                  <w:r>
                    <w:rPr/>
                    <w:t xml:space="preserve"> </w:t>
                  </w:r>
                  <w:r>
                    <w:rPr>
                      <w:rFonts w:ascii="宋体" w:hAnsi="宋体" w:cs="宋体" w:eastAsia="宋体"/>
                      <w:sz w:val="28"/>
                    </w:rPr>
                    <w:t>后，正常工作</w:t>
                  </w:r>
                  <w:r>
                    <w:rPr>
                      <w:rFonts w:ascii="宋体" w:hAnsi="宋体" w:cs="宋体" w:eastAsia="宋体"/>
                      <w:sz w:val="28"/>
                    </w:rPr>
                    <w:t>；（</w:t>
                  </w:r>
                  <w:r>
                    <w:rPr>
                      <w:rFonts w:ascii="宋体" w:hAnsi="宋体" w:cs="宋体" w:eastAsia="宋体"/>
                      <w:sz w:val="28"/>
                    </w:rPr>
                    <w:t>提供具有</w:t>
                  </w:r>
                  <w:r>
                    <w:rPr/>
                    <w:t xml:space="preserve"> </w:t>
                  </w:r>
                  <w:r>
                    <w:rPr>
                      <w:rFonts w:ascii="宋体" w:hAnsi="宋体" w:cs="宋体" w:eastAsia="宋体"/>
                      <w:sz w:val="28"/>
                    </w:rPr>
                    <w:t>CMA</w:t>
                  </w:r>
                  <w:r>
                    <w:rPr/>
                    <w:t xml:space="preserve"> </w:t>
                  </w:r>
                  <w:r>
                    <w:rPr>
                      <w:rFonts w:ascii="宋体" w:hAnsi="宋体" w:cs="宋体" w:eastAsia="宋体"/>
                      <w:sz w:val="28"/>
                    </w:rPr>
                    <w:t>和</w:t>
                  </w:r>
                  <w:r>
                    <w:rPr/>
                    <w:t xml:space="preserve"> </w:t>
                  </w:r>
                  <w:r>
                    <w:rPr>
                      <w:rFonts w:ascii="宋体" w:hAnsi="宋体" w:cs="宋体" w:eastAsia="宋体"/>
                      <w:sz w:val="28"/>
                    </w:rPr>
                    <w:t xml:space="preserve">CNAS </w:t>
                  </w:r>
                  <w:r>
                    <w:rPr>
                      <w:rFonts w:ascii="宋体" w:hAnsi="宋体" w:cs="宋体" w:eastAsia="宋体"/>
                      <w:sz w:val="28"/>
                    </w:rPr>
                    <w:t>标志的产品检测报告复印件并加盖投标人公章证明）</w:t>
                  </w:r>
                </w:p>
                <w:p>
                  <w:pPr>
                    <w:pStyle w:val="null3"/>
                    <w:spacing w:before="45"/>
                    <w:ind w:left="120"/>
                    <w:jc w:val="left"/>
                  </w:pPr>
                  <w:r>
                    <w:rPr>
                      <w:rFonts w:ascii="宋体" w:hAnsi="宋体" w:cs="宋体" w:eastAsia="宋体"/>
                      <w:sz w:val="28"/>
                    </w:rPr>
                    <w:t>●</w:t>
                  </w:r>
                  <w:r>
                    <w:rPr>
                      <w:rFonts w:ascii="宋体" w:hAnsi="宋体" w:cs="宋体" w:eastAsia="宋体"/>
                      <w:sz w:val="28"/>
                    </w:rPr>
                    <w:t>16.抗跌落性：反制器：</w:t>
                  </w:r>
                  <w:r>
                    <w:rPr/>
                    <w:t xml:space="preserve"> </w:t>
                  </w:r>
                  <w:r>
                    <w:rPr>
                      <w:rFonts w:ascii="宋体" w:hAnsi="宋体" w:cs="宋体" w:eastAsia="宋体"/>
                      <w:sz w:val="28"/>
                    </w:rPr>
                    <w:t>带包装，</w:t>
                  </w:r>
                  <w:r>
                    <w:rPr/>
                    <w:t xml:space="preserve"> </w:t>
                  </w:r>
                  <w:r>
                    <w:rPr>
                      <w:rFonts w:ascii="宋体" w:hAnsi="宋体" w:cs="宋体" w:eastAsia="宋体"/>
                      <w:sz w:val="28"/>
                    </w:rPr>
                    <w:t>自由落</w:t>
                  </w:r>
                  <w:r>
                    <w:rPr>
                      <w:rFonts w:ascii="宋体" w:hAnsi="宋体" w:cs="宋体" w:eastAsia="宋体"/>
                      <w:sz w:val="28"/>
                    </w:rPr>
                    <w:t>体水泥地面，跌落</w:t>
                  </w:r>
                  <w:r>
                    <w:rPr>
                      <w:rFonts w:ascii="宋体" w:hAnsi="宋体" w:cs="宋体" w:eastAsia="宋体"/>
                      <w:sz w:val="28"/>
                    </w:rPr>
                    <w:t>高度≦500</w:t>
                  </w:r>
                  <w:r>
                    <w:rPr>
                      <w:rFonts w:ascii="宋体" w:hAnsi="宋体" w:cs="宋体" w:eastAsia="宋体"/>
                      <w:sz w:val="28"/>
                    </w:rPr>
                    <w:t>mm</w:t>
                  </w:r>
                  <w:r>
                    <w:rPr>
                      <w:rFonts w:ascii="宋体" w:hAnsi="宋体" w:cs="宋体" w:eastAsia="宋体"/>
                      <w:sz w:val="28"/>
                    </w:rPr>
                    <w:t>，跌落后，反制器可以正常工作。</w:t>
                  </w:r>
                  <w:r>
                    <w:rPr/>
                    <w:t xml:space="preserve"> </w:t>
                  </w:r>
                </w:p>
                <w:p>
                  <w:pPr>
                    <w:pStyle w:val="null3"/>
                    <w:spacing w:before="45"/>
                    <w:ind w:left="120"/>
                    <w:jc w:val="left"/>
                  </w:pPr>
                  <w:r>
                    <w:rPr>
                      <w:rFonts w:ascii="宋体" w:hAnsi="宋体" w:cs="宋体" w:eastAsia="宋体"/>
                      <w:sz w:val="28"/>
                    </w:rPr>
                    <w:t>●17.</w:t>
                  </w:r>
                  <w:r>
                    <w:rPr>
                      <w:rFonts w:ascii="宋体" w:hAnsi="宋体" w:cs="宋体" w:eastAsia="宋体"/>
                      <w:sz w:val="28"/>
                    </w:rPr>
                    <w:t>至少有一块与原</w:t>
                  </w:r>
                  <w:r>
                    <w:rPr>
                      <w:rFonts w:ascii="宋体" w:hAnsi="宋体" w:cs="宋体" w:eastAsia="宋体"/>
                      <w:sz w:val="28"/>
                    </w:rPr>
                    <w:t>机相同</w:t>
                  </w:r>
                  <w:r>
                    <w:rPr>
                      <w:rFonts w:ascii="宋体" w:hAnsi="宋体" w:cs="宋体" w:eastAsia="宋体"/>
                      <w:sz w:val="28"/>
                    </w:rPr>
                    <w:t>的备用电池。</w:t>
                  </w:r>
                </w:p>
              </w:tc>
            </w:tr>
            <w:tr>
              <w:tc>
                <w:tcPr>
                  <w:tcW w:type="dxa" w:w="2553"/>
                  <w:gridSpan w:val="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560"/>
                    <w:jc w:val="both"/>
                  </w:pPr>
                  <w:r>
                    <w:rPr>
                      <w:rFonts w:ascii="宋体" w:hAnsi="宋体" w:cs="宋体" w:eastAsia="宋体"/>
                      <w:color w:val="000000"/>
                      <w:sz w:val="28"/>
                    </w:rPr>
                    <w:t>技术要求：</w:t>
                  </w:r>
                </w:p>
                <w:p>
                  <w:pPr>
                    <w:pStyle w:val="null3"/>
                    <w:ind w:firstLine="560"/>
                    <w:jc w:val="both"/>
                  </w:pPr>
                  <w:r>
                    <w:rPr>
                      <w:rFonts w:ascii="宋体" w:hAnsi="宋体" w:cs="宋体" w:eastAsia="宋体"/>
                      <w:color w:val="000000"/>
                      <w:sz w:val="28"/>
                    </w:rPr>
                    <w:t>（一）无人机反制设备均不能影响干扰民用机场内的无线电信号。</w:t>
                  </w:r>
                </w:p>
                <w:p>
                  <w:pPr>
                    <w:pStyle w:val="null3"/>
                    <w:ind w:firstLine="280"/>
                    <w:jc w:val="both"/>
                  </w:pPr>
                  <w:r>
                    <w:rPr>
                      <w:rFonts w:ascii="宋体" w:hAnsi="宋体" w:cs="宋体" w:eastAsia="宋体"/>
                      <w:color w:val="000000"/>
                      <w:sz w:val="28"/>
                    </w:rPr>
                    <w:t>★</w:t>
                  </w:r>
                  <w:r>
                    <w:rPr>
                      <w:rFonts w:ascii="宋体" w:hAnsi="宋体" w:cs="宋体" w:eastAsia="宋体"/>
                      <w:color w:val="000000"/>
                      <w:sz w:val="28"/>
                    </w:rPr>
                    <w:t>（</w:t>
                  </w:r>
                  <w:r>
                    <w:rPr>
                      <w:rFonts w:ascii="宋体" w:hAnsi="宋体" w:cs="宋体" w:eastAsia="宋体"/>
                      <w:color w:val="000000"/>
                      <w:sz w:val="28"/>
                    </w:rPr>
                    <w:t>二</w:t>
                  </w:r>
                  <w:r>
                    <w:rPr>
                      <w:rFonts w:ascii="宋体" w:hAnsi="宋体" w:cs="宋体" w:eastAsia="宋体"/>
                      <w:color w:val="000000"/>
                      <w:sz w:val="28"/>
                    </w:rPr>
                    <w:t>）投标人在中标后对采购人提供产品介绍、功能演示、现场教学等方式，确保采购人能正常使用设备。</w:t>
                  </w:r>
                  <w:r>
                    <w:rPr>
                      <w:rFonts w:ascii="宋体" w:hAnsi="宋体" w:cs="宋体" w:eastAsia="宋体"/>
                      <w:b/>
                      <w:color w:val="000000"/>
                      <w:sz w:val="28"/>
                    </w:rPr>
                    <w:t>（提供承诺函</w:t>
                  </w:r>
                  <w:r>
                    <w:rPr>
                      <w:rFonts w:ascii="宋体" w:hAnsi="宋体" w:cs="宋体" w:eastAsia="宋体"/>
                      <w:b/>
                      <w:color w:val="000000"/>
                      <w:sz w:val="28"/>
                    </w:rPr>
                    <w:t>并盖章</w:t>
                  </w:r>
                  <w:r>
                    <w:rPr>
                      <w:rFonts w:ascii="宋体" w:hAnsi="宋体" w:cs="宋体" w:eastAsia="宋体"/>
                      <w:b/>
                      <w:color w:val="000000"/>
                      <w:sz w:val="28"/>
                    </w:rPr>
                    <w:t>）</w:t>
                  </w:r>
                </w:p>
                <w:p>
                  <w:pPr>
                    <w:pStyle w:val="null3"/>
                    <w:ind w:firstLine="280"/>
                    <w:jc w:val="both"/>
                  </w:pPr>
                  <w:r>
                    <w:rPr>
                      <w:rFonts w:ascii="宋体" w:hAnsi="宋体" w:cs="宋体" w:eastAsia="宋体"/>
                      <w:color w:val="000000"/>
                      <w:sz w:val="28"/>
                    </w:rPr>
                    <w:t>★</w:t>
                  </w:r>
                  <w:r>
                    <w:rPr>
                      <w:rFonts w:ascii="宋体" w:hAnsi="宋体" w:cs="宋体" w:eastAsia="宋体"/>
                      <w:color w:val="000000"/>
                      <w:sz w:val="28"/>
                    </w:rPr>
                    <w:t>后续服务要求</w:t>
                  </w:r>
                  <w:r>
                    <w:rPr>
                      <w:rFonts w:ascii="calibri" w:hAnsi="calibri" w:cs="calibri" w:eastAsia="calibri"/>
                      <w:color w:val="000000"/>
                      <w:sz w:val="28"/>
                    </w:rPr>
                    <w:t>:</w:t>
                  </w:r>
                  <w:r>
                    <w:rPr>
                      <w:rFonts w:ascii="宋体" w:hAnsi="宋体" w:cs="宋体" w:eastAsia="宋体"/>
                      <w:b/>
                      <w:color w:val="000000"/>
                      <w:sz w:val="28"/>
                    </w:rPr>
                    <w:t>（提供承诺函</w:t>
                  </w:r>
                  <w:r>
                    <w:rPr>
                      <w:rFonts w:ascii="宋体" w:hAnsi="宋体" w:cs="宋体" w:eastAsia="宋体"/>
                      <w:b/>
                      <w:color w:val="000000"/>
                      <w:sz w:val="28"/>
                    </w:rPr>
                    <w:t>并盖章</w:t>
                  </w:r>
                  <w:r>
                    <w:rPr>
                      <w:rFonts w:ascii="宋体" w:hAnsi="宋体" w:cs="宋体" w:eastAsia="宋体"/>
                      <w:b/>
                      <w:color w:val="000000"/>
                      <w:sz w:val="28"/>
                    </w:rPr>
                    <w:t>）</w:t>
                  </w:r>
                </w:p>
                <w:p>
                  <w:pPr>
                    <w:pStyle w:val="null3"/>
                    <w:ind w:firstLine="560"/>
                    <w:jc w:val="both"/>
                  </w:pPr>
                  <w:r>
                    <w:rPr>
                      <w:rFonts w:ascii="calibri" w:hAnsi="calibri" w:cs="calibri" w:eastAsia="calibri"/>
                      <w:color w:val="000000"/>
                      <w:sz w:val="28"/>
                    </w:rPr>
                    <w:t>1.</w:t>
                  </w:r>
                  <w:r>
                    <w:rPr>
                      <w:rFonts w:ascii="宋体" w:hAnsi="宋体" w:cs="宋体" w:eastAsia="宋体"/>
                      <w:color w:val="000000"/>
                      <w:sz w:val="28"/>
                    </w:rPr>
                    <w:t>后续服务的形式包括但不限于</w:t>
                  </w:r>
                  <w:r>
                    <w:rPr>
                      <w:rFonts w:ascii="calibri" w:hAnsi="calibri" w:cs="calibri" w:eastAsia="calibri"/>
                      <w:color w:val="000000"/>
                      <w:sz w:val="28"/>
                    </w:rPr>
                    <w:t>:</w:t>
                  </w:r>
                  <w:r>
                    <w:rPr>
                      <w:rFonts w:ascii="宋体" w:hAnsi="宋体" w:cs="宋体" w:eastAsia="宋体"/>
                      <w:color w:val="000000"/>
                      <w:sz w:val="28"/>
                    </w:rPr>
                    <w:t>电话咨询、远程咨询、上门服务；</w:t>
                  </w:r>
                </w:p>
                <w:p>
                  <w:pPr>
                    <w:pStyle w:val="null3"/>
                    <w:ind w:firstLine="560"/>
                    <w:jc w:val="both"/>
                  </w:pPr>
                  <w:r>
                    <w:rPr>
                      <w:rFonts w:ascii="calibri" w:hAnsi="calibri" w:cs="calibri" w:eastAsia="calibri"/>
                      <w:color w:val="000000"/>
                      <w:sz w:val="28"/>
                    </w:rPr>
                    <w:t>2.</w:t>
                  </w:r>
                  <w:r>
                    <w:rPr>
                      <w:rFonts w:ascii="宋体" w:hAnsi="宋体" w:cs="宋体" w:eastAsia="宋体"/>
                      <w:color w:val="000000"/>
                      <w:sz w:val="28"/>
                    </w:rPr>
                    <w:t>后续服务的内容包括但不限于</w:t>
                  </w:r>
                  <w:r>
                    <w:rPr>
                      <w:rFonts w:ascii="calibri" w:hAnsi="calibri" w:cs="calibri" w:eastAsia="calibri"/>
                      <w:color w:val="000000"/>
                      <w:sz w:val="28"/>
                    </w:rPr>
                    <w:t>:</w:t>
                  </w:r>
                  <w:r>
                    <w:rPr>
                      <w:rFonts w:ascii="宋体" w:hAnsi="宋体" w:cs="宋体" w:eastAsia="宋体"/>
                      <w:color w:val="000000"/>
                      <w:sz w:val="28"/>
                    </w:rPr>
                    <w:t xml:space="preserve">巡检、维护、调优、维修、换新。接到采购人系统故障报修应 </w:t>
                  </w:r>
                  <w:r>
                    <w:rPr>
                      <w:rFonts w:ascii="calibri" w:hAnsi="calibri" w:cs="calibri" w:eastAsia="calibri"/>
                      <w:color w:val="000000"/>
                      <w:sz w:val="28"/>
                    </w:rPr>
                    <w:t xml:space="preserve">1 </w:t>
                  </w:r>
                  <w:r>
                    <w:rPr>
                      <w:rFonts w:ascii="宋体" w:hAnsi="宋体" w:cs="宋体" w:eastAsia="宋体"/>
                      <w:color w:val="000000"/>
                      <w:sz w:val="28"/>
                    </w:rPr>
                    <w:t>小时内响应，</w:t>
                  </w:r>
                  <w:r>
                    <w:rPr>
                      <w:rFonts w:ascii="calibri" w:hAnsi="calibri" w:cs="calibri" w:eastAsia="calibri"/>
                      <w:color w:val="000000"/>
                      <w:sz w:val="28"/>
                    </w:rPr>
                    <w:t xml:space="preserve">2 </w:t>
                  </w:r>
                  <w:r>
                    <w:rPr>
                      <w:rFonts w:ascii="宋体" w:hAnsi="宋体" w:cs="宋体" w:eastAsia="宋体"/>
                      <w:color w:val="000000"/>
                      <w:sz w:val="28"/>
                    </w:rPr>
                    <w:t>小时内到达现场，</w:t>
                  </w:r>
                  <w:r>
                    <w:rPr>
                      <w:rFonts w:ascii="calibri" w:hAnsi="calibri" w:cs="calibri" w:eastAsia="calibri"/>
                      <w:color w:val="000000"/>
                      <w:sz w:val="28"/>
                    </w:rPr>
                    <w:t xml:space="preserve">24 </w:t>
                  </w:r>
                  <w:r>
                    <w:rPr>
                      <w:rFonts w:ascii="宋体" w:hAnsi="宋体" w:cs="宋体" w:eastAsia="宋体"/>
                      <w:color w:val="000000"/>
                      <w:sz w:val="28"/>
                    </w:rPr>
                    <w:t xml:space="preserve">小时内不能排除故障的应提供备用机，以保证采购人正常使用。同一货物或部件经 </w:t>
                  </w:r>
                  <w:r>
                    <w:rPr>
                      <w:rFonts w:ascii="calibri" w:hAnsi="calibri" w:cs="calibri" w:eastAsia="calibri"/>
                      <w:color w:val="000000"/>
                      <w:sz w:val="28"/>
                    </w:rPr>
                    <w:t xml:space="preserve">3 </w:t>
                  </w:r>
                  <w:r>
                    <w:rPr>
                      <w:rFonts w:ascii="宋体" w:hAnsi="宋体" w:cs="宋体" w:eastAsia="宋体"/>
                      <w:color w:val="000000"/>
                      <w:sz w:val="28"/>
                    </w:rPr>
                    <w:t>次维修仍然无法达到正常使用性能的，中标人应予更换。</w:t>
                  </w:r>
                </w:p>
                <w:p>
                  <w:pPr>
                    <w:pStyle w:val="null3"/>
                    <w:ind w:firstLine="560"/>
                    <w:jc w:val="both"/>
                  </w:pPr>
                  <w:r>
                    <w:rPr>
                      <w:rFonts w:ascii="calibri" w:hAnsi="calibri" w:cs="calibri" w:eastAsia="calibri"/>
                      <w:color w:val="000000"/>
                      <w:sz w:val="28"/>
                    </w:rPr>
                    <w:t>3.</w:t>
                  </w:r>
                  <w:r>
                    <w:rPr>
                      <w:rFonts w:ascii="宋体" w:hAnsi="宋体" w:cs="宋体" w:eastAsia="宋体"/>
                      <w:color w:val="000000"/>
                      <w:sz w:val="28"/>
                    </w:rPr>
                    <w:t>伴随服务：中标的投标人或制造商在采购人使用设备过程中有义务提供技术咨询、零配件供应等相关服务。</w:t>
                  </w:r>
                </w:p>
                <w:p>
                  <w:pPr>
                    <w:pStyle w:val="null3"/>
                    <w:ind w:firstLine="281"/>
                    <w:jc w:val="both"/>
                  </w:pPr>
                  <w:r>
                    <w:rPr>
                      <w:rFonts w:ascii="宋体" w:hAnsi="宋体" w:cs="宋体" w:eastAsia="宋体"/>
                      <w:color w:val="000000"/>
                      <w:sz w:val="28"/>
                    </w:rPr>
                    <w:t>★</w:t>
                  </w:r>
                  <w:r>
                    <w:rPr>
                      <w:rFonts w:ascii="宋体" w:hAnsi="宋体" w:cs="宋体" w:eastAsia="宋体"/>
                      <w:b/>
                      <w:sz w:val="28"/>
                    </w:rPr>
                    <w:t>强制性产品认证</w:t>
                  </w:r>
                  <w:r>
                    <w:rPr>
                      <w:rFonts w:ascii="宋体" w:hAnsi="宋体" w:cs="宋体" w:eastAsia="宋体"/>
                      <w:b/>
                      <w:color w:val="000000"/>
                      <w:sz w:val="28"/>
                    </w:rPr>
                    <w:t>（提供承诺函</w:t>
                  </w:r>
                  <w:r>
                    <w:rPr>
                      <w:rFonts w:ascii="宋体" w:hAnsi="宋体" w:cs="宋体" w:eastAsia="宋体"/>
                      <w:b/>
                      <w:color w:val="000000"/>
                      <w:sz w:val="28"/>
                    </w:rPr>
                    <w:t>并盖章</w:t>
                  </w:r>
                  <w:r>
                    <w:rPr>
                      <w:rFonts w:ascii="宋体" w:hAnsi="宋体" w:cs="宋体" w:eastAsia="宋体"/>
                      <w:b/>
                      <w:color w:val="000000"/>
                      <w:sz w:val="28"/>
                    </w:rPr>
                    <w:t>）</w:t>
                  </w:r>
                </w:p>
                <w:p>
                  <w:pPr>
                    <w:pStyle w:val="null3"/>
                    <w:ind w:firstLine="560"/>
                    <w:jc w:val="both"/>
                  </w:pPr>
                  <w:r>
                    <w:rPr>
                      <w:rFonts w:ascii="calibri" w:hAnsi="calibri" w:cs="calibri" w:eastAsia="calibri"/>
                      <w:color w:val="000000"/>
                      <w:sz w:val="28"/>
                    </w:rPr>
                    <w:t>1.</w:t>
                  </w:r>
                  <w:r>
                    <w:rPr>
                      <w:rFonts w:ascii="宋体" w:hAnsi="宋体" w:cs="宋体" w:eastAsia="宋体"/>
                      <w:color w:val="000000"/>
                      <w:sz w:val="28"/>
                    </w:rPr>
                    <w:t>供应商所投产品涉及国家强制认证的（</w:t>
                  </w:r>
                  <w:r>
                    <w:rPr>
                      <w:rFonts w:ascii="calibri" w:hAnsi="calibri" w:cs="calibri" w:eastAsia="calibri"/>
                      <w:color w:val="000000"/>
                      <w:sz w:val="28"/>
                    </w:rPr>
                    <w:t>CCC</w:t>
                  </w:r>
                  <w:r>
                    <w:rPr>
                      <w:rFonts w:ascii="宋体" w:hAnsi="宋体" w:cs="宋体" w:eastAsia="宋体"/>
                      <w:color w:val="000000"/>
                      <w:sz w:val="28"/>
                    </w:rPr>
                    <w:t>）或无线电发射设备型号核准证或其他前置许可认证的，在投标文件中提供符合国家强制认证（</w:t>
                  </w:r>
                  <w:r>
                    <w:rPr>
                      <w:rFonts w:ascii="calibri" w:hAnsi="calibri" w:cs="calibri" w:eastAsia="calibri"/>
                      <w:color w:val="000000"/>
                      <w:sz w:val="28"/>
                    </w:rPr>
                    <w:t>CCC</w:t>
                  </w:r>
                  <w:r>
                    <w:rPr>
                      <w:rFonts w:ascii="宋体" w:hAnsi="宋体" w:cs="宋体" w:eastAsia="宋体"/>
                      <w:color w:val="000000"/>
                      <w:sz w:val="28"/>
                    </w:rPr>
                    <w:t>）或前置许可、认证的承诺函件，在供货时一并提供相关许可、认证材料。</w:t>
                  </w:r>
                </w:p>
                <w:p>
                  <w:pPr>
                    <w:pStyle w:val="null3"/>
                    <w:ind w:firstLine="200"/>
                    <w:jc w:val="both"/>
                  </w:pPr>
                </w:p>
              </w:tc>
            </w:tr>
          </w:tbl>
          <w:p/>
        </w:tc>
      </w:tr>
    </w:tbl>
    <w:p>
      <w:pPr>
        <w:pStyle w:val="null3"/>
        <w:jc w:val="left"/>
      </w:pPr>
      <w:r>
        <w:rPr/>
        <w:t>标的名称：角反射器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序号</w:t>
            </w:r>
          </w:p>
        </w:tc>
        <w:tc>
          <w:tcPr>
            <w:tcW w:type="dxa" w:w="2769"/>
          </w:tcPr>
          <w:p>
            <w:pPr>
              <w:pStyle w:val="null3"/>
              <w:jc w:val="left"/>
            </w:pPr>
            <w:r>
              <w:rPr/>
              <w:t>符号标识</w:t>
            </w:r>
          </w:p>
        </w:tc>
        <w:tc>
          <w:tcPr>
            <w:tcW w:type="dxa" w:w="2769"/>
          </w:tcPr>
          <w:p>
            <w:pPr>
              <w:pStyle w:val="null3"/>
              <w:jc w:val="left"/>
            </w:pPr>
            <w:r>
              <w:rPr/>
              <w:t>技术参数与性能指标</w:t>
            </w:r>
          </w:p>
        </w:tc>
      </w:tr>
      <w:tr>
        <w:tc>
          <w:tcPr>
            <w:tcW w:type="dxa" w:w="2769"/>
          </w:tcPr>
          <w:p>
            <w:pPr>
              <w:pStyle w:val="null3"/>
              <w:jc w:val="left"/>
            </w:pPr>
            <w:r>
              <w:rPr/>
              <w:t>1</w:t>
            </w:r>
          </w:p>
        </w:tc>
        <w:tc>
          <w:tcPr>
            <w:tcW w:type="dxa" w:w="2769"/>
          </w:tcPr>
          <w:p/>
        </w:tc>
        <w:tc>
          <w:tcPr>
            <w:tcW w:type="dxa" w:w="2769"/>
          </w:tcPr>
          <w:p>
            <w:pPr>
              <w:pStyle w:val="null3"/>
              <w:spacing w:before="45"/>
              <w:jc w:val="left"/>
            </w:pPr>
            <w:r>
              <w:rPr>
                <w:rFonts w:ascii="宋体" w:hAnsi="宋体" w:cs="宋体" w:eastAsia="宋体"/>
                <w:sz w:val="28"/>
              </w:rPr>
              <w:t>●</w:t>
            </w:r>
            <w:r>
              <w:rPr>
                <w:rFonts w:ascii="宋体" w:hAnsi="宋体" w:cs="宋体" w:eastAsia="宋体"/>
                <w:sz w:val="28"/>
              </w:rPr>
              <w:t>1.角反射器尺寸：≥12寸；</w:t>
            </w:r>
            <w:r>
              <w:rPr>
                <w:rFonts w:ascii="宋体" w:hAnsi="宋体" w:cs="宋体" w:eastAsia="宋体"/>
                <w:sz w:val="28"/>
              </w:rPr>
              <w:t>卡扣式、</w:t>
            </w:r>
            <w:r>
              <w:rPr>
                <w:rFonts w:ascii="宋体" w:hAnsi="宋体" w:cs="宋体" w:eastAsia="宋体"/>
                <w:sz w:val="28"/>
              </w:rPr>
              <w:t>可组装、拆卸收纳。</w:t>
            </w:r>
          </w:p>
          <w:p>
            <w:pPr>
              <w:pStyle w:val="null3"/>
              <w:spacing w:before="45"/>
              <w:jc w:val="left"/>
            </w:pPr>
            <w:r>
              <w:rPr>
                <w:rFonts w:ascii="宋体" w:hAnsi="宋体" w:cs="宋体" w:eastAsia="宋体"/>
                <w:sz w:val="28"/>
              </w:rPr>
              <w:t>●</w:t>
            </w:r>
            <w:r>
              <w:rPr>
                <w:rFonts w:ascii="宋体" w:hAnsi="宋体" w:cs="宋体" w:eastAsia="宋体"/>
                <w:sz w:val="28"/>
              </w:rPr>
              <w:t>2.反射器</w:t>
            </w:r>
            <w:r>
              <w:rPr>
                <w:rFonts w:ascii="宋体" w:hAnsi="宋体" w:cs="宋体" w:eastAsia="宋体"/>
                <w:sz w:val="28"/>
              </w:rPr>
              <w:t>材质：铝材；</w:t>
            </w:r>
            <w:r>
              <w:rPr>
                <w:rFonts w:ascii="宋体" w:hAnsi="宋体" w:cs="宋体" w:eastAsia="宋体"/>
                <w:sz w:val="28"/>
              </w:rPr>
              <w:t>反射角度：360°反射；</w:t>
            </w:r>
          </w:p>
          <w:p>
            <w:pPr>
              <w:pStyle w:val="null3"/>
              <w:spacing w:before="45"/>
              <w:jc w:val="left"/>
            </w:pPr>
            <w:r>
              <w:rPr>
                <w:rFonts w:ascii="宋体" w:hAnsi="宋体" w:cs="宋体" w:eastAsia="宋体"/>
                <w:sz w:val="28"/>
              </w:rPr>
              <w:t>●</w:t>
            </w:r>
            <w:r>
              <w:rPr>
                <w:rFonts w:ascii="宋体" w:hAnsi="宋体" w:cs="宋体" w:eastAsia="宋体"/>
                <w:sz w:val="28"/>
              </w:rPr>
              <w:t>3.可折叠收纳支架，支架伸展范围≥70cm;</w:t>
            </w:r>
          </w:p>
          <w:p>
            <w:pPr>
              <w:pStyle w:val="null3"/>
              <w:jc w:val="both"/>
            </w:pPr>
            <w:r>
              <w:rPr>
                <w:rFonts w:ascii="宋体" w:hAnsi="宋体" w:cs="宋体" w:eastAsia="宋体"/>
                <w:sz w:val="28"/>
              </w:rPr>
              <w:t>●</w:t>
            </w:r>
            <w:r>
              <w:rPr>
                <w:rFonts w:ascii="宋体" w:hAnsi="宋体" w:cs="宋体" w:eastAsia="宋体"/>
                <w:sz w:val="28"/>
              </w:rPr>
              <w:t>4.</w:t>
            </w:r>
            <w:r>
              <w:rPr>
                <w:rFonts w:ascii="宋体" w:hAnsi="宋体" w:cs="宋体" w:eastAsia="宋体"/>
                <w:sz w:val="28"/>
              </w:rPr>
              <w:t>支架材质：不锈钢。</w:t>
            </w:r>
          </w:p>
        </w:tc>
      </w:tr>
    </w:tbl>
    <w:p>
      <w:pPr>
        <w:pStyle w:val="null3"/>
        <w:jc w:val="left"/>
        <w:outlineLvl w:val="2"/>
      </w:pPr>
      <w:r>
        <w:rPr>
          <w:b/>
          <w:sz w:val="28"/>
        </w:rPr>
        <w:t>3.4.服务要求</w:t>
      </w:r>
    </w:p>
    <w:p>
      <w:pPr>
        <w:pStyle w:val="null3"/>
        <w:jc w:val="left"/>
        <w:outlineLvl w:val="3"/>
      </w:pPr>
      <w:r>
        <w:rPr>
          <w:b/>
          <w:sz w:val="24"/>
        </w:rPr>
        <w:t>3.4.1.服务内容要求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 xml:space="preserve"> 序号</w:t>
            </w:r>
          </w:p>
        </w:tc>
        <w:tc>
          <w:tcPr>
            <w:tcW w:type="dxa" w:w="2076"/>
          </w:tcPr>
          <w:p>
            <w:pPr>
              <w:pStyle w:val="null3"/>
              <w:jc w:val="left"/>
            </w:pPr>
            <w:r>
              <w:rPr/>
              <w:t xml:space="preserve"> 符号标识</w:t>
            </w:r>
          </w:p>
        </w:tc>
        <w:tc>
          <w:tcPr>
            <w:tcW w:type="dxa" w:w="2076"/>
          </w:tcPr>
          <w:p>
            <w:pPr>
              <w:pStyle w:val="null3"/>
              <w:jc w:val="left"/>
            </w:pPr>
            <w:r>
              <w:rPr/>
              <w:t xml:space="preserve"> 要求名称</w:t>
            </w:r>
          </w:p>
        </w:tc>
        <w:tc>
          <w:tcPr>
            <w:tcW w:type="dxa" w:w="2076"/>
          </w:tcPr>
          <w:p>
            <w:pPr>
              <w:pStyle w:val="null3"/>
              <w:jc w:val="left"/>
            </w:pPr>
            <w:r>
              <w:rPr/>
              <w:t xml:space="preserve"> 要求内容</w:t>
            </w:r>
          </w:p>
        </w:tc>
      </w:tr>
      <w:tr>
        <w:tc>
          <w:tcPr>
            <w:tcW w:type="dxa" w:w="8304"/>
            <w:gridSpan w:val="4"/>
          </w:tcPr>
          <w:p>
            <w:pPr>
              <w:pStyle w:val="null3"/>
              <w:jc w:val="center"/>
            </w:pPr>
            <w:r>
              <w:rPr/>
              <w:t>无</w:t>
            </w:r>
          </w:p>
        </w:tc>
      </w:tr>
    </w:tbl>
    <w:p>
      <w:pPr>
        <w:pStyle w:val="null3"/>
        <w:jc w:val="left"/>
        <w:outlineLvl w:val="3"/>
      </w:pPr>
      <w:r>
        <w:rPr>
          <w:b/>
          <w:sz w:val="24"/>
        </w:rPr>
        <w:t>3.4.2.商务要求</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t>序号</w:t>
            </w:r>
          </w:p>
        </w:tc>
        <w:tc>
          <w:tcPr>
            <w:tcW w:type="dxa" w:w="2076"/>
          </w:tcPr>
          <w:p>
            <w:pPr>
              <w:pStyle w:val="null3"/>
              <w:jc w:val="left"/>
            </w:pPr>
            <w:r>
              <w:rPr/>
              <w:t>符号标识</w:t>
            </w:r>
          </w:p>
        </w:tc>
        <w:tc>
          <w:tcPr>
            <w:tcW w:type="dxa" w:w="2076"/>
          </w:tcPr>
          <w:p>
            <w:pPr>
              <w:pStyle w:val="null3"/>
              <w:jc w:val="left"/>
            </w:pPr>
            <w:r>
              <w:rPr/>
              <w:t>商务要求名称</w:t>
            </w:r>
          </w:p>
        </w:tc>
        <w:tc>
          <w:tcPr>
            <w:tcW w:type="dxa" w:w="2076"/>
          </w:tcPr>
          <w:p>
            <w:pPr>
              <w:pStyle w:val="null3"/>
              <w:jc w:val="left"/>
            </w:pPr>
            <w:r>
              <w:rPr/>
              <w:t>商务要求内容</w:t>
            </w:r>
          </w:p>
        </w:tc>
      </w:tr>
      <w:tr>
        <w:tc>
          <w:tcPr>
            <w:tcW w:type="dxa" w:w="2076"/>
          </w:tcPr>
          <w:p>
            <w:pPr>
              <w:pStyle w:val="null3"/>
              <w:jc w:val="left"/>
            </w:pPr>
            <w:r>
              <w:rPr/>
              <w:t>1</w:t>
            </w:r>
          </w:p>
        </w:tc>
        <w:tc>
          <w:tcPr>
            <w:tcW w:type="dxa" w:w="2076"/>
          </w:tcPr>
          <w:p>
            <w:pPr>
              <w:pStyle w:val="null3"/>
              <w:jc w:val="left"/>
            </w:pPr>
            <w:r>
              <w:rPr/>
              <w:t>★</w:t>
            </w:r>
          </w:p>
        </w:tc>
        <w:tc>
          <w:tcPr>
            <w:tcW w:type="dxa" w:w="2076"/>
          </w:tcPr>
          <w:p>
            <w:pPr>
              <w:pStyle w:val="null3"/>
              <w:jc w:val="left"/>
            </w:pPr>
            <w:r>
              <w:rPr/>
              <w:t>交货时间</w:t>
            </w:r>
          </w:p>
        </w:tc>
        <w:tc>
          <w:tcPr>
            <w:tcW w:type="dxa" w:w="2076"/>
          </w:tcPr>
          <w:p>
            <w:pPr>
              <w:pStyle w:val="null3"/>
              <w:jc w:val="left"/>
            </w:pPr>
            <w:r>
              <w:rPr/>
              <w:t>自合同签订之日起30日</w:t>
            </w:r>
          </w:p>
        </w:tc>
      </w:tr>
      <w:tr>
        <w:tc>
          <w:tcPr>
            <w:tcW w:type="dxa" w:w="2076"/>
          </w:tcPr>
          <w:p>
            <w:pPr>
              <w:pStyle w:val="null3"/>
              <w:jc w:val="left"/>
            </w:pPr>
            <w:r>
              <w:rPr/>
              <w:t>2</w:t>
            </w:r>
          </w:p>
        </w:tc>
        <w:tc>
          <w:tcPr>
            <w:tcW w:type="dxa" w:w="2076"/>
          </w:tcPr>
          <w:p>
            <w:pPr>
              <w:pStyle w:val="null3"/>
              <w:jc w:val="left"/>
            </w:pPr>
            <w:r>
              <w:rPr/>
              <w:t>★</w:t>
            </w:r>
          </w:p>
        </w:tc>
        <w:tc>
          <w:tcPr>
            <w:tcW w:type="dxa" w:w="2076"/>
          </w:tcPr>
          <w:p>
            <w:pPr>
              <w:pStyle w:val="null3"/>
              <w:jc w:val="left"/>
            </w:pPr>
            <w:r>
              <w:rPr/>
              <w:t>交货地点</w:t>
            </w:r>
          </w:p>
        </w:tc>
        <w:tc>
          <w:tcPr>
            <w:tcW w:type="dxa" w:w="2076"/>
          </w:tcPr>
          <w:p>
            <w:pPr>
              <w:pStyle w:val="null3"/>
              <w:jc w:val="left"/>
            </w:pPr>
            <w:r>
              <w:rPr/>
              <w:t>采购人指定地点</w:t>
            </w:r>
          </w:p>
        </w:tc>
      </w:tr>
      <w:tr>
        <w:tc>
          <w:tcPr>
            <w:tcW w:type="dxa" w:w="2076"/>
          </w:tcPr>
          <w:p>
            <w:pPr>
              <w:pStyle w:val="null3"/>
              <w:jc w:val="left"/>
            </w:pPr>
            <w:r>
              <w:rPr/>
              <w:t>3</w:t>
            </w:r>
          </w:p>
        </w:tc>
        <w:tc>
          <w:tcPr>
            <w:tcW w:type="dxa" w:w="2076"/>
          </w:tcPr>
          <w:p>
            <w:pPr>
              <w:pStyle w:val="null3"/>
              <w:jc w:val="left"/>
            </w:pPr>
            <w:r>
              <w:rPr/>
              <w:t>★</w:t>
            </w:r>
          </w:p>
        </w:tc>
        <w:tc>
          <w:tcPr>
            <w:tcW w:type="dxa" w:w="2076"/>
          </w:tcPr>
          <w:p>
            <w:pPr>
              <w:pStyle w:val="null3"/>
              <w:jc w:val="left"/>
            </w:pPr>
            <w:r>
              <w:rPr/>
              <w:t>支付方式</w:t>
            </w:r>
          </w:p>
        </w:tc>
        <w:tc>
          <w:tcPr>
            <w:tcW w:type="dxa" w:w="2076"/>
          </w:tcPr>
          <w:p>
            <w:pPr>
              <w:pStyle w:val="null3"/>
              <w:jc w:val="left"/>
            </w:pPr>
            <w:r>
              <w:rPr/>
              <w:t>分期付款</w:t>
            </w:r>
          </w:p>
        </w:tc>
      </w:tr>
      <w:tr>
        <w:tc>
          <w:tcPr>
            <w:tcW w:type="dxa" w:w="2076"/>
          </w:tcPr>
          <w:p>
            <w:pPr>
              <w:pStyle w:val="null3"/>
              <w:jc w:val="left"/>
            </w:pPr>
            <w:r>
              <w:rPr/>
              <w:t>4</w:t>
            </w:r>
          </w:p>
        </w:tc>
        <w:tc>
          <w:tcPr>
            <w:tcW w:type="dxa" w:w="2076"/>
          </w:tcPr>
          <w:p>
            <w:pPr>
              <w:pStyle w:val="null3"/>
              <w:jc w:val="left"/>
            </w:pPr>
            <w:r>
              <w:rPr/>
              <w:t>★</w:t>
            </w:r>
          </w:p>
        </w:tc>
        <w:tc>
          <w:tcPr>
            <w:tcW w:type="dxa" w:w="2076"/>
          </w:tcPr>
          <w:p>
            <w:pPr>
              <w:pStyle w:val="null3"/>
              <w:jc w:val="left"/>
            </w:pPr>
            <w:r>
              <w:rPr/>
              <w:t>支付约定</w:t>
            </w:r>
          </w:p>
        </w:tc>
        <w:tc>
          <w:tcPr>
            <w:tcW w:type="dxa" w:w="2076"/>
          </w:tcPr>
          <w:p>
            <w:pPr>
              <w:pStyle w:val="null3"/>
              <w:jc w:val="left"/>
            </w:pPr>
            <w:r>
              <w:rPr/>
              <w:t>1、合同签订，收到发票后，达到付款条件起14日内，支付合同总金额的60.00%</w:t>
            </w:r>
          </w:p>
          <w:p>
            <w:pPr>
              <w:pStyle w:val="null3"/>
              <w:jc w:val="left"/>
            </w:pPr>
            <w:r>
              <w:rPr/>
              <w:t>2、所有货物完成交货，并最终验收合格后，采购人收到发票后 ，达到付款条件起14日内，支付合同总金额的40.00%</w:t>
            </w:r>
          </w:p>
        </w:tc>
      </w:tr>
      <w:tr>
        <w:tc>
          <w:tcPr>
            <w:tcW w:type="dxa" w:w="2076"/>
          </w:tcPr>
          <w:p>
            <w:pPr>
              <w:pStyle w:val="null3"/>
              <w:jc w:val="left"/>
            </w:pPr>
            <w:r>
              <w:rPr/>
              <w:t>5</w:t>
            </w:r>
          </w:p>
        </w:tc>
        <w:tc>
          <w:tcPr>
            <w:tcW w:type="dxa" w:w="2076"/>
          </w:tcPr>
          <w:p>
            <w:pPr>
              <w:pStyle w:val="null3"/>
              <w:jc w:val="left"/>
            </w:pPr>
            <w:r>
              <w:rPr/>
              <w:t>★</w:t>
            </w:r>
          </w:p>
        </w:tc>
        <w:tc>
          <w:tcPr>
            <w:tcW w:type="dxa" w:w="2076"/>
          </w:tcPr>
          <w:p>
            <w:pPr>
              <w:pStyle w:val="null3"/>
              <w:jc w:val="left"/>
            </w:pPr>
            <w:r>
              <w:rPr/>
              <w:t>验收、交付标准和方法</w:t>
            </w:r>
          </w:p>
        </w:tc>
        <w:tc>
          <w:tcPr>
            <w:tcW w:type="dxa" w:w="2076"/>
          </w:tcPr>
          <w:p>
            <w:pPr>
              <w:pStyle w:val="null3"/>
              <w:jc w:val="left"/>
            </w:pPr>
            <w:r>
              <w:rPr/>
              <w:t>按照《财政部关于进一步加强政府采购需求和履约验收管理的指 导意见》（财库〔2016〕205 号） 《关于印发〈政府采购需求管理办法〉的通知》（财库（2021）22 号）要求并结合招标文件和投标文件响应情况进行验收。</w:t>
            </w:r>
          </w:p>
        </w:tc>
      </w:tr>
      <w:tr>
        <w:tc>
          <w:tcPr>
            <w:tcW w:type="dxa" w:w="2076"/>
          </w:tcPr>
          <w:p>
            <w:pPr>
              <w:pStyle w:val="null3"/>
              <w:jc w:val="left"/>
            </w:pPr>
            <w:r>
              <w:rPr/>
              <w:t>6</w:t>
            </w:r>
          </w:p>
        </w:tc>
        <w:tc>
          <w:tcPr>
            <w:tcW w:type="dxa" w:w="2076"/>
          </w:tcPr>
          <w:p>
            <w:pPr>
              <w:pStyle w:val="null3"/>
              <w:jc w:val="left"/>
            </w:pPr>
            <w:r>
              <w:rPr/>
              <w:t>★</w:t>
            </w:r>
          </w:p>
        </w:tc>
        <w:tc>
          <w:tcPr>
            <w:tcW w:type="dxa" w:w="2076"/>
          </w:tcPr>
          <w:p>
            <w:pPr>
              <w:pStyle w:val="null3"/>
              <w:jc w:val="left"/>
            </w:pPr>
            <w:r>
              <w:rPr/>
              <w:t>质量保修范围和保修期</w:t>
            </w:r>
          </w:p>
        </w:tc>
        <w:tc>
          <w:tcPr>
            <w:tcW w:type="dxa" w:w="2076"/>
          </w:tcPr>
          <w:p>
            <w:pPr>
              <w:pStyle w:val="null3"/>
              <w:jc w:val="left"/>
            </w:pPr>
            <w:r>
              <w:rPr/>
              <w:t>1.质保期为验收合格交付采购人之日起 2年。 2.在质保期由于产品质量原因造成设备无法正常工作的， 因供应商组装、设计、原材料等原因导致零部件损坏或其他故障的，或在正常使用情况下出现故障的，均由供应商负责更换维修，直至设备恢复正常。</w:t>
            </w:r>
          </w:p>
        </w:tc>
      </w:tr>
      <w:tr>
        <w:tc>
          <w:tcPr>
            <w:tcW w:type="dxa" w:w="2076"/>
          </w:tcPr>
          <w:p>
            <w:pPr>
              <w:pStyle w:val="null3"/>
              <w:jc w:val="left"/>
            </w:pPr>
            <w:r>
              <w:rPr/>
              <w:t>7</w:t>
            </w:r>
          </w:p>
        </w:tc>
        <w:tc>
          <w:tcPr>
            <w:tcW w:type="dxa" w:w="2076"/>
          </w:tcPr>
          <w:p>
            <w:pPr>
              <w:pStyle w:val="null3"/>
              <w:jc w:val="left"/>
            </w:pPr>
            <w:r>
              <w:rPr/>
              <w:t>★</w:t>
            </w:r>
          </w:p>
        </w:tc>
        <w:tc>
          <w:tcPr>
            <w:tcW w:type="dxa" w:w="2076"/>
          </w:tcPr>
          <w:p>
            <w:pPr>
              <w:pStyle w:val="null3"/>
              <w:jc w:val="left"/>
            </w:pPr>
            <w:r>
              <w:rPr/>
              <w:t>违约责任与解决争议的方法</w:t>
            </w:r>
          </w:p>
        </w:tc>
        <w:tc>
          <w:tcPr>
            <w:tcW w:type="dxa" w:w="2076"/>
          </w:tcPr>
          <w:p>
            <w:pPr>
              <w:pStyle w:val="null3"/>
              <w:jc w:val="left"/>
            </w:pPr>
            <w:r>
              <w:rPr/>
              <w:t>1.甲方无正当理由拒收货物、拒付货款的，甲方应向乙方偿付拒付货款 0.5%的违约金。 2.甲方无正当理由未按合同规定的期限向乙方支付货款的，每逾期 1 天甲方向乙方偿付未付款总额的 1‰违约金，但累计违约金总额不超过未付款总额的 10％。 3.乙方所交付的货物或安装不符合本合同规定的，甲方有权拒收，同时乙方应向甲方支付合同总价 1％的违约金 。乙方应在得到甲方通知之日起 5 个工作日内采取补救措施。若乙方上述期限内所提供的货物仍不符合规定，乙方应向甲方另行支付合同总价 30%的违约金， 同时甲方有权单方面无条件解除合同，并要求乙方退还已支付的所有资金及其利息。 4.乙方无正当理由逾期交付货物或完成安装的，每逾期 1 天，乙方向甲方偿付货款总金额的 1%的违约金。如乙方逾期交货达 5 天，甲方有权解除合同，甲方解除合同的通知自到达乙方时生效，同时乙方应向甲方另行支付合同总价 30 %的违约金， 并退还所有已收取的资金及其利息。在此情况下，乙方给甲方造成的损失高于违约金的，对高出违约金的部分乙方应予以赔偿。 5.在乙方承诺的或国家规定的质量保证期内（取两者中最长的期限），如经乙方 2 次维修，货物仍不能达到合同约定的质量标准、运行效果的， 甲方有权要求乙方更换为全新合格货物并按本条第 3 款处理， 同时，乙方还须赔偿甲方因此遭受的损失。 6.乙方保证本合同货物的权利无瑕疵，包括货物所有权及知识产权等权利无瑕疵。如任何第三方经法院（或仲裁机构）裁决有权对上述产品主张权利， 由乙方承担经济责任的， 甲方有权无条件解除合同，乙方除应向甲方返还已收款项及其利息外，还应另按合同总价的 30%向甲方支付违约金并赔偿因此给甲方造成的一切损失。 7.乙方未按照承诺和本合同约定提供售后服务的，每出现一次未按规定提供售后服务的视为一次违约 ，乙方应按合同总价的 1 %向甲方支付违约金，并按照甲方要求限期整改。售后服务期内出现 5 次以上违约的， 甲方有权直接解除合同， 自解除通知到达乙方时即生效，乙方除应向甲方返还已收款项及其利息外，还应另按合同总价的 30%向甲方支付违约金并赔偿因此给甲方造成的一切损失。</w:t>
            </w:r>
          </w:p>
        </w:tc>
      </w:tr>
      <w:tr>
        <w:tc>
          <w:tcPr>
            <w:tcW w:type="dxa" w:w="2076"/>
          </w:tcPr>
          <w:p>
            <w:pPr>
              <w:pStyle w:val="null3"/>
              <w:jc w:val="left"/>
            </w:pPr>
            <w:r>
              <w:rPr/>
              <w:t>8</w:t>
            </w:r>
          </w:p>
        </w:tc>
        <w:tc>
          <w:tcPr>
            <w:tcW w:type="dxa" w:w="2076"/>
          </w:tcPr>
          <w:p>
            <w:pPr>
              <w:pStyle w:val="null3"/>
              <w:jc w:val="left"/>
            </w:pPr>
            <w:r>
              <w:rPr/>
              <w:t>★</w:t>
            </w:r>
          </w:p>
        </w:tc>
        <w:tc>
          <w:tcPr>
            <w:tcW w:type="dxa" w:w="2076"/>
          </w:tcPr>
          <w:p>
            <w:pPr>
              <w:pStyle w:val="null3"/>
              <w:jc w:val="left"/>
            </w:pPr>
            <w:r>
              <w:rPr/>
              <w:t>包装方式及运输</w:t>
            </w:r>
          </w:p>
        </w:tc>
        <w:tc>
          <w:tcPr>
            <w:tcW w:type="dxa" w:w="2076"/>
          </w:tcPr>
          <w:p>
            <w:pPr>
              <w:pStyle w:val="null3"/>
              <w:jc w:val="left"/>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b/>
          <w:sz w:val="28"/>
        </w:rPr>
        <w:t>3.5.其他要求</w:t>
      </w:r>
    </w:p>
    <w:p>
      <w:pPr>
        <w:pStyle w:val="null3"/>
        <w:jc w:val="left"/>
      </w:pPr>
      <w:r>
        <w:rPr/>
        <w:t>在评审得分且投标报价均相同的，同等情况下，供应商注册地为少数民族地区的，优先推荐。</w:t>
      </w:r>
    </w:p>
    <w:p>
      <w:pPr>
        <w:pStyle w:val="null3"/>
      </w:pPr>
      <w:r>
        <w:rPr/>
        <w:t xml:space="preserve"> </w:t>
        <w:br/>
        <w:br w:type="page"/>
      </w:r>
    </w:p>
    <w:p>
      <w:pPr>
        <w:pStyle w:val="null3"/>
        <w:jc w:val="center"/>
        <w:outlineLvl w:val="1"/>
      </w:pPr>
      <w:r>
        <w:rPr>
          <w:b/>
          <w:sz w:val="36"/>
        </w:rPr>
        <w:t>第四章 资格审查</w:t>
      </w:r>
    </w:p>
    <w:p>
      <w:pPr>
        <w:pStyle w:val="null3"/>
        <w:jc w:val="left"/>
      </w:pPr>
      <w:r>
        <w:rPr/>
        <w:t>开标解密完成后，由采购人、代理机构依据法律法规和招标文件的规定，对成功解密的投标文件中供应商资格证明等进行审查，出具资格审查报告。资格审查标准及要求如下：</w:t>
      </w:r>
    </w:p>
    <w:p>
      <w:pPr>
        <w:pStyle w:val="null3"/>
        <w:jc w:val="left"/>
        <w:outlineLvl w:val="2"/>
      </w:pPr>
      <w:r>
        <w:rPr>
          <w:b/>
          <w:sz w:val="28"/>
        </w:rPr>
        <w:t>4.1.一般资格审查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一般资格审查内容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center"/>
            </w:pPr>
            <w:r>
              <w:rPr/>
              <w:t>1</w:t>
            </w:r>
          </w:p>
        </w:tc>
        <w:tc>
          <w:tcPr>
            <w:tcW w:type="dxa" w:w="2492"/>
          </w:tcPr>
          <w:p>
            <w:pPr>
              <w:pStyle w:val="null3"/>
              <w:jc w:val="left"/>
            </w:pPr>
            <w:r>
              <w:rPr/>
              <w:t>具有独立承担民事责任的能力。</w:t>
            </w:r>
          </w:p>
        </w:tc>
        <w:tc>
          <w:tcPr>
            <w:tcW w:type="dxa" w:w="3322"/>
          </w:tcPr>
          <w:p>
            <w:pPr>
              <w:pStyle w:val="null3"/>
              <w:jc w:val="left"/>
            </w:pPr>
            <w:r>
              <w:rPr/>
              <w:t>1.供应商需在项目电子化交易系统中按要求填写《投标（响应）函》完成承诺并进行电子签章。</w:t>
              <w:br/>
              <w:t>2.提供营业执照等类似效力证明材料并盖章。</w:t>
            </w:r>
          </w:p>
        </w:tc>
        <w:tc>
          <w:tcPr>
            <w:tcW w:type="dxa" w:w="1910"/>
          </w:tcPr>
          <w:p>
            <w:pPr>
              <w:pStyle w:val="null3"/>
              <w:jc w:val="left"/>
            </w:pPr>
            <w:r>
              <w:rPr/>
              <w:t>关于资格的承诺函 投标（响应）函</w:t>
            </w:r>
          </w:p>
        </w:tc>
      </w:tr>
      <w:tr>
        <w:tc>
          <w:tcPr>
            <w:tcW w:type="dxa" w:w="581"/>
          </w:tcPr>
          <w:p>
            <w:pPr>
              <w:pStyle w:val="null3"/>
              <w:jc w:val="center"/>
            </w:pPr>
            <w:r>
              <w:rPr/>
              <w:t>2</w:t>
            </w:r>
          </w:p>
        </w:tc>
        <w:tc>
          <w:tcPr>
            <w:tcW w:type="dxa" w:w="2492"/>
          </w:tcPr>
          <w:p>
            <w:pPr>
              <w:pStyle w:val="null3"/>
              <w:jc w:val="left"/>
            </w:pPr>
            <w:r>
              <w:rPr/>
              <w:t>具有良好的商业信誉</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3</w:t>
            </w:r>
          </w:p>
        </w:tc>
        <w:tc>
          <w:tcPr>
            <w:tcW w:type="dxa" w:w="2492"/>
          </w:tcPr>
          <w:p>
            <w:pPr>
              <w:pStyle w:val="null3"/>
              <w:jc w:val="left"/>
            </w:pPr>
            <w:r>
              <w:rPr/>
              <w:t>具有健全的财务会计制度。</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4</w:t>
            </w:r>
          </w:p>
        </w:tc>
        <w:tc>
          <w:tcPr>
            <w:tcW w:type="dxa" w:w="2492"/>
          </w:tcPr>
          <w:p>
            <w:pPr>
              <w:pStyle w:val="null3"/>
              <w:jc w:val="left"/>
            </w:pPr>
            <w:r>
              <w:rPr/>
              <w:t>具有履行合同所必需的设备和专业技术能力。</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5</w:t>
            </w:r>
          </w:p>
        </w:tc>
        <w:tc>
          <w:tcPr>
            <w:tcW w:type="dxa" w:w="2492"/>
          </w:tcPr>
          <w:p>
            <w:pPr>
              <w:pStyle w:val="null3"/>
              <w:jc w:val="left"/>
            </w:pPr>
            <w:r>
              <w:rPr/>
              <w:t>有依法缴纳税收和社会保障资金的良好记录。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6</w:t>
            </w:r>
          </w:p>
        </w:tc>
        <w:tc>
          <w:tcPr>
            <w:tcW w:type="dxa" w:w="2492"/>
          </w:tcPr>
          <w:p>
            <w:pPr>
              <w:pStyle w:val="null3"/>
              <w:jc w:val="left"/>
            </w:pPr>
            <w:r>
              <w:rPr/>
              <w:t>参加政府采购活动前三年内，在经营活动中没有重大违法记录。</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7</w:t>
            </w:r>
          </w:p>
        </w:tc>
        <w:tc>
          <w:tcPr>
            <w:tcW w:type="dxa" w:w="2492"/>
          </w:tcPr>
          <w:p>
            <w:pPr>
              <w:pStyle w:val="null3"/>
              <w:jc w:val="left"/>
            </w:pPr>
            <w:r>
              <w:rPr/>
              <w:t>不存在与单位负责人为同一人或者存在直接控股、管理关系的其他供应商参与同一合同项下的政府采购活动的行为。</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r>
        <w:tc>
          <w:tcPr>
            <w:tcW w:type="dxa" w:w="581"/>
          </w:tcPr>
          <w:p>
            <w:pPr>
              <w:pStyle w:val="null3"/>
              <w:jc w:val="center"/>
            </w:pPr>
            <w:r>
              <w:rPr/>
              <w:t>8</w:t>
            </w:r>
          </w:p>
        </w:tc>
        <w:tc>
          <w:tcPr>
            <w:tcW w:type="dxa" w:w="2492"/>
          </w:tcPr>
          <w:p>
            <w:pPr>
              <w:pStyle w:val="null3"/>
              <w:jc w:val="left"/>
            </w:pPr>
            <w:r>
              <w:rPr/>
              <w:t>不属于为本项目提供整体设计、规范编制或者项目管理、监理、检测等服务的供应商。</w:t>
            </w:r>
          </w:p>
        </w:tc>
        <w:tc>
          <w:tcPr>
            <w:tcW w:type="dxa" w:w="3322"/>
          </w:tcPr>
          <w:p>
            <w:pPr>
              <w:pStyle w:val="null3"/>
              <w:jc w:val="left"/>
            </w:pPr>
            <w:r>
              <w:rPr/>
              <w:t>供应商需在项目电子化交易系统中按要求填写《投标（响应）函》完成承诺并进行电子签章。</w:t>
            </w:r>
          </w:p>
        </w:tc>
        <w:tc>
          <w:tcPr>
            <w:tcW w:type="dxa" w:w="1910"/>
          </w:tcPr>
          <w:p>
            <w:pPr>
              <w:pStyle w:val="null3"/>
              <w:jc w:val="left"/>
            </w:pPr>
            <w:r>
              <w:rPr/>
              <w:t>投标（响应）函</w:t>
            </w:r>
          </w:p>
        </w:tc>
      </w:tr>
    </w:tbl>
    <w:p>
      <w:pPr>
        <w:pStyle w:val="null3"/>
        <w:jc w:val="left"/>
        <w:outlineLvl w:val="2"/>
      </w:pPr>
      <w:r>
        <w:rPr>
          <w:b/>
          <w:sz w:val="28"/>
        </w:rPr>
        <w:t>4.2.落实政府采购政策资格审查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t xml:space="preserve"> 序号</w:t>
            </w:r>
          </w:p>
        </w:tc>
        <w:tc>
          <w:tcPr>
            <w:tcW w:type="dxa" w:w="2575"/>
          </w:tcPr>
          <w:p>
            <w:pPr>
              <w:pStyle w:val="null3"/>
              <w:jc w:val="center"/>
            </w:pPr>
            <w:r>
              <w:rPr/>
              <w:t xml:space="preserve"> 落实政府采购政策资格审查内容</w:t>
            </w:r>
          </w:p>
        </w:tc>
        <w:tc>
          <w:tcPr>
            <w:tcW w:type="dxa" w:w="3239"/>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8305"/>
            <w:gridSpan w:val="4"/>
          </w:tcPr>
          <w:p>
            <w:pPr>
              <w:pStyle w:val="null3"/>
              <w:jc w:val="left"/>
            </w:pPr>
            <w:r>
              <w:rPr/>
              <w:t xml:space="preserve"> 无</w:t>
            </w:r>
          </w:p>
        </w:tc>
      </w:tr>
    </w:tbl>
    <w:p>
      <w:pPr>
        <w:pStyle w:val="null3"/>
        <w:jc w:val="left"/>
        <w:outlineLvl w:val="2"/>
      </w:pPr>
      <w:r>
        <w:rPr>
          <w:b/>
          <w:sz w:val="28"/>
        </w:rPr>
        <w:t>4.3.特定资格审查</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特定资格审查内容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8305"/>
            <w:gridSpan w:val="4"/>
          </w:tcPr>
          <w:p>
            <w:pPr>
              <w:pStyle w:val="null3"/>
              <w:jc w:val="left"/>
            </w:pPr>
            <w:r>
              <w:rPr/>
              <w:t xml:space="preserve"> 无</w:t>
            </w:r>
          </w:p>
        </w:tc>
      </w:tr>
    </w:tbl>
    <w:p>
      <w:pPr>
        <w:pStyle w:val="null3"/>
      </w:pPr>
      <w:r>
        <w:rPr/>
        <w:t xml:space="preserve"> </w:t>
        <w:br/>
        <w:br w:type="page"/>
      </w:r>
    </w:p>
    <w:p>
      <w:pPr>
        <w:pStyle w:val="null3"/>
        <w:jc w:val="center"/>
        <w:outlineLvl w:val="1"/>
      </w:pPr>
      <w:r>
        <w:rPr>
          <w:b/>
          <w:sz w:val="36"/>
        </w:rPr>
        <w:t>第五章 评标办法</w:t>
      </w:r>
    </w:p>
    <w:p>
      <w:pPr>
        <w:pStyle w:val="null3"/>
        <w:jc w:val="left"/>
        <w:outlineLvl w:val="2"/>
      </w:pPr>
      <w:r>
        <w:rPr>
          <w:b/>
          <w:sz w:val="28"/>
        </w:rPr>
        <w:t>5.1总则</w:t>
      </w:r>
    </w:p>
    <w:p>
      <w:pPr>
        <w:pStyle w:val="null3"/>
        <w:ind w:firstLine="480"/>
        <w:jc w:val="left"/>
      </w:pPr>
      <w:r>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t>二、评标工作由代理机构负责组织，具体评标事务由采购人或者代理机构依法组建的评标委员会负责。评标委员会由采购人代表和评审专家组成。</w:t>
      </w:r>
    </w:p>
    <w:p>
      <w:pPr>
        <w:pStyle w:val="null3"/>
        <w:ind w:firstLine="480"/>
        <w:jc w:val="left"/>
      </w:pPr>
      <w:r>
        <w:rPr/>
        <w:t>三、评标工作应遵循公平、公正、科学及择优的原则，并以相同的评标程序和标准对待所有的投标人。</w:t>
      </w:r>
    </w:p>
    <w:p>
      <w:pPr>
        <w:pStyle w:val="null3"/>
        <w:ind w:firstLine="480"/>
        <w:jc w:val="left"/>
      </w:pPr>
      <w:r>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b/>
          <w:sz w:val="28"/>
        </w:rPr>
        <w:t>5.2.评标委员会</w:t>
      </w:r>
    </w:p>
    <w:p>
      <w:pPr>
        <w:pStyle w:val="null3"/>
        <w:ind w:firstLine="480"/>
        <w:jc w:val="left"/>
      </w:pPr>
      <w:r>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t>四、评标委员会按照招标文件规定的评标程序、评标方法和标准进行评标，并独立履行下列职责：</w:t>
      </w:r>
    </w:p>
    <w:p>
      <w:pPr>
        <w:pStyle w:val="null3"/>
        <w:ind w:firstLine="480"/>
        <w:jc w:val="left"/>
      </w:pPr>
      <w:r>
        <w:rPr/>
        <w:t>(一)熟悉和理解招标文件；</w:t>
      </w:r>
    </w:p>
    <w:p>
      <w:pPr>
        <w:pStyle w:val="null3"/>
        <w:ind w:firstLine="480"/>
        <w:jc w:val="left"/>
      </w:pPr>
      <w:r>
        <w:rPr/>
        <w:t>(二)审查、评价投标文件是否符合招标文件的商务、技术等实质性要求；</w:t>
      </w:r>
    </w:p>
    <w:p>
      <w:pPr>
        <w:pStyle w:val="null3"/>
        <w:ind w:firstLine="480"/>
        <w:jc w:val="left"/>
      </w:pPr>
      <w:r>
        <w:rPr/>
        <w:t>(三)对投标文件进行比较和评价；</w:t>
      </w:r>
    </w:p>
    <w:p>
      <w:pPr>
        <w:pStyle w:val="null3"/>
        <w:ind w:firstLine="480"/>
        <w:jc w:val="left"/>
      </w:pPr>
      <w:r>
        <w:rPr/>
        <w:t>(四)根据需要要求采购人、代理机构对招标文件作出解释；根据需要要求投标人对投标文件有关事项作出澄清、说明或者补正；</w:t>
      </w:r>
    </w:p>
    <w:p>
      <w:pPr>
        <w:pStyle w:val="null3"/>
        <w:ind w:firstLine="480"/>
        <w:jc w:val="left"/>
      </w:pPr>
      <w:r>
        <w:rPr/>
        <w:t>(五)确定中标候选人名单，以及根据采购人委托直接确定中标人；</w:t>
      </w:r>
    </w:p>
    <w:p>
      <w:pPr>
        <w:pStyle w:val="null3"/>
        <w:ind w:firstLine="480"/>
        <w:jc w:val="left"/>
      </w:pPr>
      <w:r>
        <w:rPr/>
        <w:t>(六)起草评标报告并进行签署；</w:t>
      </w:r>
    </w:p>
    <w:p>
      <w:pPr>
        <w:pStyle w:val="null3"/>
        <w:ind w:firstLine="480"/>
        <w:jc w:val="left"/>
      </w:pPr>
      <w:r>
        <w:rPr/>
        <w:t>(七)向采购人、代理机构或者有关部门报告评标中发现的违法行为；</w:t>
      </w:r>
    </w:p>
    <w:p>
      <w:pPr>
        <w:pStyle w:val="null3"/>
        <w:ind w:firstLine="480"/>
        <w:jc w:val="left"/>
      </w:pPr>
      <w:r>
        <w:rPr/>
        <w:t>(八)法律、法规和规章规定的其他职责。</w:t>
      </w:r>
    </w:p>
    <w:p>
      <w:pPr>
        <w:pStyle w:val="null3"/>
        <w:jc w:val="left"/>
        <w:outlineLvl w:val="2"/>
      </w:pPr>
      <w:r>
        <w:rPr>
          <w:b/>
          <w:sz w:val="28"/>
        </w:rPr>
        <w:t>5.3.评标程序</w:t>
      </w:r>
    </w:p>
    <w:p>
      <w:pPr>
        <w:pStyle w:val="null3"/>
        <w:jc w:val="left"/>
        <w:outlineLvl w:val="3"/>
      </w:pPr>
      <w:r>
        <w:rPr>
          <w:b/>
          <w:sz w:val="24"/>
        </w:rPr>
        <w:t>5.3.1.熟悉和理解招标文件</w:t>
      </w:r>
    </w:p>
    <w:p>
      <w:pPr>
        <w:pStyle w:val="null3"/>
        <w:ind w:firstLine="480"/>
        <w:jc w:val="left"/>
      </w:pPr>
      <w:r>
        <w:rPr/>
        <w:t>评标委员会正式评审前，应当对招标文件进行熟悉和理解，内容主要包括招标文件中采购项目技术、服务和商务要求、评审方法和标准以及可能涉及签订政府采购合同的内容等。</w:t>
      </w:r>
    </w:p>
    <w:p>
      <w:pPr>
        <w:pStyle w:val="null3"/>
        <w:jc w:val="left"/>
        <w:outlineLvl w:val="3"/>
      </w:pPr>
      <w:r>
        <w:rPr>
          <w:b/>
          <w:sz w:val="24"/>
        </w:rPr>
        <w:t>5.3.2.停止评标的情形</w:t>
      </w:r>
    </w:p>
    <w:p>
      <w:pPr>
        <w:pStyle w:val="null3"/>
        <w:ind w:firstLine="480"/>
        <w:jc w:val="left"/>
      </w:pPr>
      <w:r>
        <w:rPr/>
        <w:t>本招标文件有下列情形之一的，评标委员会应当停止评标：</w:t>
      </w:r>
    </w:p>
    <w:p>
      <w:pPr>
        <w:pStyle w:val="null3"/>
        <w:ind w:firstLine="480"/>
        <w:jc w:val="left"/>
      </w:pPr>
      <w:r>
        <w:rPr/>
        <w:t>一、招标文件的规定存在歧义、重大缺陷的；</w:t>
      </w:r>
    </w:p>
    <w:p>
      <w:pPr>
        <w:pStyle w:val="null3"/>
        <w:ind w:firstLine="480"/>
        <w:jc w:val="left"/>
      </w:pPr>
      <w:r>
        <w:rPr/>
        <w:t>二、招标文件明显以不合理条件对投标人实行差别待遇或者歧视待遇的；</w:t>
      </w:r>
    </w:p>
    <w:p>
      <w:pPr>
        <w:pStyle w:val="null3"/>
        <w:ind w:firstLine="480"/>
        <w:jc w:val="left"/>
      </w:pPr>
      <w:r>
        <w:rPr/>
        <w:t>三、采购项目属于国家规定的优先、强制采购范围，但是招标文件未依法体现优先、强制采购相关规定的；</w:t>
      </w:r>
    </w:p>
    <w:p>
      <w:pPr>
        <w:pStyle w:val="null3"/>
        <w:ind w:firstLine="480"/>
        <w:jc w:val="left"/>
      </w:pPr>
      <w:r>
        <w:rPr/>
        <w:t>四、采购项目属于政府采购促进中小企业发展的范围，但是招标文件未依法体现促进中小企业发展相关规定的；</w:t>
      </w:r>
    </w:p>
    <w:p>
      <w:pPr>
        <w:pStyle w:val="null3"/>
        <w:ind w:firstLine="480"/>
        <w:jc w:val="left"/>
      </w:pPr>
      <w:r>
        <w:rPr/>
        <w:t>五、招标文件规定的评标方法是综合评分法、最低评标价法之外的评标方法，或者虽然名称为综合评分法、最低评标价法，但实际上不符合国家规定；</w:t>
      </w:r>
    </w:p>
    <w:p>
      <w:pPr>
        <w:pStyle w:val="null3"/>
        <w:ind w:firstLine="480"/>
        <w:jc w:val="left"/>
      </w:pPr>
      <w:r>
        <w:rPr/>
        <w:t>六、招标文件将投标人的资格条件列为评分因素的；</w:t>
      </w:r>
    </w:p>
    <w:p>
      <w:pPr>
        <w:pStyle w:val="null3"/>
        <w:ind w:firstLine="480"/>
        <w:jc w:val="left"/>
      </w:pPr>
      <w:r>
        <w:rPr/>
        <w:t>七、招标文件有违反国家其他有关强制性规定的情形。</w:t>
      </w:r>
    </w:p>
    <w:p>
      <w:pPr>
        <w:pStyle w:val="null3"/>
        <w:ind w:firstLine="480"/>
        <w:jc w:val="left"/>
      </w:pPr>
      <w:r>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t>出现上述应当停止评标情形的，采购人、代理机构应当将停止评标的情形和具体原因通过交易系统告知参加采购活动的供应商，并在四川政府采购网公告。采购人、代理机构认为评标委员会不应当停止评标的，可以书面报告采购项目同级财政部门依法处理，并提供相关证明材料。</w:t>
      </w:r>
    </w:p>
    <w:p>
      <w:pPr>
        <w:pStyle w:val="null3"/>
        <w:jc w:val="left"/>
        <w:outlineLvl w:val="3"/>
      </w:pPr>
      <w:r>
        <w:rPr>
          <w:b/>
          <w:sz w:val="24"/>
        </w:rPr>
        <w:t>5.3.3.符合性审查★</w:t>
      </w:r>
    </w:p>
    <w:p>
      <w:pPr>
        <w:pStyle w:val="null3"/>
        <w:ind w:firstLine="480"/>
        <w:jc w:val="left"/>
      </w:pPr>
      <w:r>
        <w:rPr/>
        <w:t>评标委员会依据本招标文件的符合性审查要求，对符合资格要求投标人的投标文件进行符合性审查。</w:t>
      </w:r>
    </w:p>
    <w:p>
      <w:pPr>
        <w:pStyle w:val="null3"/>
        <w:ind w:firstLine="480"/>
        <w:jc w:val="left"/>
      </w:pPr>
      <w:r>
        <w:rPr/>
        <w:t>在符合性审查过程中，如果出现评标委员会成员意见不一致的情况，按照少数服从多数的原则确定，但不得违背政府采购基本原则和招标文件规定。</w:t>
      </w:r>
    </w:p>
    <w:p>
      <w:pPr>
        <w:pStyle w:val="null3"/>
        <w:ind w:firstLine="480"/>
        <w:jc w:val="left"/>
      </w:pPr>
      <w:r>
        <w:rPr/>
        <w:t>符合性审查标准见下表（按以下顺序审查）：</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t xml:space="preserve"> 序号</w:t>
            </w:r>
          </w:p>
        </w:tc>
        <w:tc>
          <w:tcPr>
            <w:tcW w:type="dxa" w:w="2492"/>
          </w:tcPr>
          <w:p>
            <w:pPr>
              <w:pStyle w:val="null3"/>
              <w:jc w:val="center"/>
            </w:pPr>
            <w:r>
              <w:rPr/>
              <w:t xml:space="preserve"> 符合性审查内容</w:t>
            </w:r>
          </w:p>
        </w:tc>
        <w:tc>
          <w:tcPr>
            <w:tcW w:type="dxa" w:w="3322"/>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center"/>
            </w:pPr>
            <w:r>
              <w:rPr/>
              <w:t>1</w:t>
            </w:r>
          </w:p>
        </w:tc>
        <w:tc>
          <w:tcPr>
            <w:tcW w:type="dxa" w:w="2492"/>
          </w:tcPr>
          <w:p>
            <w:pPr>
              <w:pStyle w:val="null3"/>
              <w:jc w:val="left"/>
            </w:pPr>
            <w:r>
              <w:rPr/>
              <w:t>需要投标人进行承诺的实质性要求。</w:t>
            </w:r>
          </w:p>
        </w:tc>
        <w:tc>
          <w:tcPr>
            <w:tcW w:type="dxa" w:w="3322"/>
          </w:tcPr>
          <w:p>
            <w:pPr>
              <w:pStyle w:val="null3"/>
              <w:jc w:val="left"/>
            </w:pPr>
            <w:r>
              <w:rPr/>
              <w:t>本招标文件除“第三章”另有要求外，其他打“★”条 款无需供应商单独提供材料进行响应，只需供应商 承诺严格遵守并执行的相关实质性要求即可。</w:t>
            </w:r>
          </w:p>
        </w:tc>
        <w:tc>
          <w:tcPr>
            <w:tcW w:type="dxa" w:w="1910"/>
          </w:tcPr>
          <w:p>
            <w:pPr>
              <w:pStyle w:val="null3"/>
              <w:jc w:val="left"/>
            </w:pPr>
            <w:r>
              <w:rPr/>
              <w:t>承诺函 关于资格的承诺函 报价明细表 供应商认为需要提供的其他材料 投标（响应）函 报价明细表1</w:t>
            </w:r>
          </w:p>
        </w:tc>
      </w:tr>
      <w:tr>
        <w:tc>
          <w:tcPr>
            <w:tcW w:type="dxa" w:w="581"/>
          </w:tcPr>
          <w:p>
            <w:pPr>
              <w:pStyle w:val="null3"/>
              <w:jc w:val="center"/>
            </w:pPr>
            <w:r>
              <w:rPr/>
              <w:t>2</w:t>
            </w:r>
          </w:p>
        </w:tc>
        <w:tc>
          <w:tcPr>
            <w:tcW w:type="dxa" w:w="2492"/>
          </w:tcPr>
          <w:p>
            <w:pPr>
              <w:pStyle w:val="null3"/>
              <w:jc w:val="left"/>
            </w:pPr>
            <w:r>
              <w:rPr/>
              <w:t>“第三章 3.3技术要求。打“★”条款，要求提供承诺函的，应当提供承诺函；要求提供证明材料的应当提供证明材料；3.1.3要求提供报价明细表的，按要求提供。以上材料均盖投标人单位公章。</w:t>
            </w:r>
          </w:p>
        </w:tc>
        <w:tc>
          <w:tcPr>
            <w:tcW w:type="dxa" w:w="3322"/>
          </w:tcPr>
          <w:p>
            <w:pPr>
              <w:pStyle w:val="null3"/>
              <w:jc w:val="left"/>
            </w:pPr>
            <w:r>
              <w:rPr/>
              <w:t>“第三章 3.3技术要求。打“★”条款，要求提供承诺函的，应当提供承诺函；要求提供证明材料的应当提供证明材料；符合3.1.3报价要求、报价明细表按要求提供。以上材料均盖投标人单位公章。</w:t>
            </w:r>
          </w:p>
        </w:tc>
        <w:tc>
          <w:tcPr>
            <w:tcW w:type="dxa" w:w="1910"/>
          </w:tcPr>
          <w:p>
            <w:pPr>
              <w:pStyle w:val="null3"/>
              <w:jc w:val="left"/>
            </w:pPr>
            <w:r>
              <w:rPr/>
              <w:t>承诺函 关于资格的承诺函 产品技术参数响应表 供应商认为需要提供的其他材料 投标文件封面 投标（响应）函 报价明细表1</w:t>
            </w:r>
          </w:p>
        </w:tc>
      </w:tr>
      <w:tr>
        <w:tc>
          <w:tcPr>
            <w:tcW w:type="dxa" w:w="581"/>
          </w:tcPr>
          <w:p>
            <w:pPr>
              <w:pStyle w:val="null3"/>
              <w:jc w:val="center"/>
            </w:pPr>
            <w:r>
              <w:rPr/>
              <w:t>3</w:t>
            </w:r>
          </w:p>
        </w:tc>
        <w:tc>
          <w:tcPr>
            <w:tcW w:type="dxa" w:w="2492"/>
          </w:tcPr>
          <w:p>
            <w:pPr>
              <w:pStyle w:val="null3"/>
              <w:jc w:val="left"/>
            </w:pPr>
            <w:r>
              <w:rPr/>
              <w:t>商务要求</w:t>
            </w:r>
          </w:p>
        </w:tc>
        <w:tc>
          <w:tcPr>
            <w:tcW w:type="dxa" w:w="3322"/>
          </w:tcPr>
          <w:p>
            <w:pPr>
              <w:pStyle w:val="null3"/>
              <w:jc w:val="left"/>
            </w:pPr>
            <w:r>
              <w:rPr/>
              <w:t>商务要求应答表</w:t>
            </w:r>
          </w:p>
        </w:tc>
        <w:tc>
          <w:tcPr>
            <w:tcW w:type="dxa" w:w="1910"/>
          </w:tcPr>
          <w:p>
            <w:pPr>
              <w:pStyle w:val="null3"/>
              <w:jc w:val="left"/>
            </w:pPr>
            <w:r>
              <w:rPr/>
              <w:t>商务应答表 报价明细表1</w:t>
            </w:r>
          </w:p>
        </w:tc>
      </w:tr>
    </w:tbl>
    <w:p>
      <w:pPr>
        <w:pStyle w:val="null3"/>
        <w:ind w:firstLine="480"/>
        <w:jc w:val="left"/>
      </w:pPr>
      <w:r>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b/>
          <w:sz w:val="24"/>
        </w:rPr>
        <w:t>5.3.4解释、澄清、说明有关问题</w:t>
      </w:r>
    </w:p>
    <w:p>
      <w:pPr>
        <w:pStyle w:val="null3"/>
        <w:ind w:firstLine="480"/>
        <w:jc w:val="left"/>
      </w:pPr>
      <w:r>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t>三、投标文件报价出现前后不一致的，除招标文件另有规定外，按照下列规定修正：</w:t>
      </w:r>
    </w:p>
    <w:p>
      <w:pPr>
        <w:pStyle w:val="null3"/>
        <w:ind w:firstLine="480"/>
        <w:jc w:val="left"/>
      </w:pPr>
      <w:r>
        <w:rPr/>
        <w:t>（一）投标文件中报价表内容与投标文件中相应内容不一致的，以报价表为准；</w:t>
      </w:r>
    </w:p>
    <w:p>
      <w:pPr>
        <w:pStyle w:val="null3"/>
        <w:ind w:firstLine="480"/>
        <w:jc w:val="left"/>
      </w:pPr>
      <w:r>
        <w:rPr/>
        <w:t>（二）大写金额和小写金额不一致的，以大写金额为准；</w:t>
      </w:r>
    </w:p>
    <w:p>
      <w:pPr>
        <w:pStyle w:val="null3"/>
        <w:ind w:firstLine="480"/>
        <w:jc w:val="left"/>
      </w:pPr>
      <w:r>
        <w:rPr/>
        <w:t>（三）单价金额小数点或者百分比有明显错位的，以报价表总价为准，并修改单价；</w:t>
      </w:r>
    </w:p>
    <w:p>
      <w:pPr>
        <w:pStyle w:val="null3"/>
        <w:ind w:firstLine="480"/>
        <w:jc w:val="left"/>
      </w:pPr>
      <w:r>
        <w:rPr/>
        <w:t>（四）总价金额与按单价汇总金额不一致的，以单价金额计算结果为准。</w:t>
      </w:r>
    </w:p>
    <w:p>
      <w:pPr>
        <w:pStyle w:val="null3"/>
        <w:ind w:firstLine="480"/>
        <w:jc w:val="left"/>
      </w:pPr>
      <w:r>
        <w:rPr/>
        <w:t>同时出现两种以上不一致的，按照前款规定的顺序修正。修正后的报价经投标人经交易系统加盖电子印章确认提交后生效产生约束力。</w:t>
      </w:r>
    </w:p>
    <w:p>
      <w:pPr>
        <w:pStyle w:val="null3"/>
        <w:ind w:firstLine="480"/>
        <w:jc w:val="left"/>
      </w:pPr>
      <w:r>
        <w:rPr/>
        <w:t>四、对不同语言文本投标文件的解释发生异议的，以中文文本为准。</w:t>
      </w:r>
    </w:p>
    <w:p>
      <w:pPr>
        <w:pStyle w:val="null3"/>
        <w:ind w:firstLine="480"/>
        <w:jc w:val="left"/>
      </w:pPr>
      <w:r>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b/>
          <w:sz w:val="24"/>
        </w:rPr>
        <w:t>5.3.5.比较与评价</w:t>
      </w:r>
    </w:p>
    <w:p>
      <w:pPr>
        <w:pStyle w:val="null3"/>
        <w:ind w:firstLine="480"/>
        <w:jc w:val="left"/>
      </w:pPr>
      <w:r>
        <w:rPr/>
        <w:t>评标委员会应当按照招标文件规定的评标细则及标准，对符合性审查合格的投标文件进行商务和技术评估，综合比较和评价。</w:t>
      </w:r>
    </w:p>
    <w:p>
      <w:pPr>
        <w:pStyle w:val="null3"/>
        <w:jc w:val="left"/>
        <w:outlineLvl w:val="3"/>
      </w:pPr>
      <w:r>
        <w:rPr>
          <w:b/>
          <w:sz w:val="24"/>
        </w:rPr>
        <w:t>5.3.6.评标委员会复核</w:t>
      </w:r>
    </w:p>
    <w:p>
      <w:pPr>
        <w:pStyle w:val="null3"/>
        <w:ind w:firstLine="480"/>
        <w:jc w:val="left"/>
      </w:pPr>
      <w:r>
        <w:rPr/>
        <w:t>评分汇总结束后，评标委员会应当进行复核，对拟推荐为中标候选人的、报价最低的、投标文件被认定为无效的进行重点复核。</w:t>
      </w:r>
    </w:p>
    <w:p>
      <w:pPr>
        <w:pStyle w:val="null3"/>
        <w:jc w:val="left"/>
        <w:outlineLvl w:val="3"/>
      </w:pPr>
      <w:r>
        <w:rPr>
          <w:b/>
          <w:sz w:val="24"/>
        </w:rPr>
        <w:t>5.3.7.代理机构现场复核评审结果</w:t>
      </w:r>
    </w:p>
    <w:p>
      <w:pPr>
        <w:pStyle w:val="null3"/>
        <w:ind w:firstLine="480"/>
        <w:jc w:val="left"/>
      </w:pPr>
      <w:r>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t>（一）资格审查认定错误的；</w:t>
      </w:r>
    </w:p>
    <w:p>
      <w:pPr>
        <w:pStyle w:val="null3"/>
        <w:ind w:firstLine="480"/>
        <w:jc w:val="left"/>
      </w:pPr>
      <w:r>
        <w:rPr/>
        <w:t>（二）分值汇总计算错误的；</w:t>
      </w:r>
    </w:p>
    <w:p>
      <w:pPr>
        <w:pStyle w:val="null3"/>
        <w:ind w:firstLine="480"/>
        <w:jc w:val="left"/>
      </w:pPr>
      <w:r>
        <w:rPr/>
        <w:t>（三）分项评分超出评分标准范围的；</w:t>
      </w:r>
    </w:p>
    <w:p>
      <w:pPr>
        <w:pStyle w:val="null3"/>
        <w:ind w:firstLine="480"/>
        <w:jc w:val="left"/>
      </w:pPr>
      <w:r>
        <w:rPr/>
        <w:t>（四）客观评分不一致的。</w:t>
      </w:r>
    </w:p>
    <w:p>
      <w:pPr>
        <w:pStyle w:val="null3"/>
        <w:ind w:firstLine="480"/>
        <w:jc w:val="left"/>
      </w:pPr>
      <w:r>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t>三、代理机构复核过程中，评标委员会成员不得离开评审现场。</w:t>
      </w:r>
    </w:p>
    <w:p>
      <w:pPr>
        <w:pStyle w:val="null3"/>
        <w:ind w:firstLine="480"/>
        <w:jc w:val="left"/>
      </w:pPr>
      <w:r>
        <w:rPr/>
        <w:t>四、除资格审查认定错误、分值汇总计算错误、分项评分超出评分标准范围、评标委员会成员对客观评审因素评分不一致的、经评标委员会一致认定评分畸高、畸低的情形外，采购人或者代理机构不得以任何理由组织重新评审。代理机构发现评标委员会未按照招标文件规定的评审标准进行评审的，应当重新开展采购活动，并同时书面报告项目同级财政部门。</w:t>
      </w:r>
    </w:p>
    <w:p>
      <w:pPr>
        <w:pStyle w:val="null3"/>
        <w:jc w:val="left"/>
        <w:outlineLvl w:val="3"/>
      </w:pPr>
      <w:r>
        <w:rPr>
          <w:b/>
          <w:sz w:val="24"/>
        </w:rPr>
        <w:t>5.3.8.确定中标候选人名单</w:t>
      </w:r>
    </w:p>
    <w:p>
      <w:pPr>
        <w:pStyle w:val="null3"/>
        <w:jc w:val="left"/>
      </w:pPr>
      <w:r>
        <w:rPr/>
        <w:t>采购包1：</w:t>
      </w:r>
      <w:r>
        <w:rPr/>
        <w:t>确定3名中标候选人。</w:t>
      </w:r>
    </w:p>
    <w:p>
      <w:pPr>
        <w:pStyle w:val="null3"/>
        <w:ind w:firstLine="480"/>
        <w:jc w:val="left"/>
      </w:pPr>
      <w:r>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1名投标人参加评标，其他投标无效。</w:t>
      </w:r>
    </w:p>
    <w:p>
      <w:pPr>
        <w:pStyle w:val="null3"/>
        <w:jc w:val="left"/>
        <w:outlineLvl w:val="3"/>
      </w:pPr>
      <w:r>
        <w:rPr>
          <w:b/>
          <w:sz w:val="24"/>
        </w:rPr>
        <w:t>5.3.9.出具评标报告</w:t>
      </w:r>
    </w:p>
    <w:p>
      <w:pPr>
        <w:pStyle w:val="null3"/>
        <w:ind w:firstLine="480"/>
        <w:jc w:val="left"/>
      </w:pPr>
      <w:r>
        <w:rPr/>
        <w:t>评标报告是评标委员会根据全体评标成员签署的评标记录和评标结果编写的报告，其主要内容包括：</w:t>
      </w:r>
    </w:p>
    <w:p>
      <w:pPr>
        <w:pStyle w:val="null3"/>
        <w:ind w:firstLine="480"/>
        <w:jc w:val="left"/>
      </w:pPr>
      <w:r>
        <w:rPr/>
        <w:t>一、招标公告刊登的媒体名称、开标日期和地点；</w:t>
      </w:r>
    </w:p>
    <w:p>
      <w:pPr>
        <w:pStyle w:val="null3"/>
        <w:ind w:firstLine="480"/>
        <w:jc w:val="left"/>
      </w:pPr>
      <w:r>
        <w:rPr/>
        <w:t>二、投标人名单和评标委员会成员名单；</w:t>
      </w:r>
    </w:p>
    <w:p>
      <w:pPr>
        <w:pStyle w:val="null3"/>
        <w:ind w:firstLine="480"/>
        <w:jc w:val="left"/>
      </w:pPr>
      <w:r>
        <w:rPr/>
        <w:t>三、评标方法和标准；</w:t>
      </w:r>
    </w:p>
    <w:p>
      <w:pPr>
        <w:pStyle w:val="null3"/>
        <w:ind w:firstLine="480"/>
        <w:jc w:val="left"/>
      </w:pPr>
      <w:r>
        <w:rPr/>
        <w:t>四、开标记录和评标情况及说明，包括投标无效投标人名单及原因；</w:t>
      </w:r>
    </w:p>
    <w:p>
      <w:pPr>
        <w:pStyle w:val="null3"/>
        <w:ind w:firstLine="480"/>
        <w:jc w:val="left"/>
      </w:pPr>
      <w:r>
        <w:rPr/>
        <w:t>五、评标结果，确定的中标候选人名单或者经采购人委托直接确定的中标人</w:t>
      </w:r>
    </w:p>
    <w:p>
      <w:pPr>
        <w:pStyle w:val="null3"/>
        <w:ind w:firstLine="480"/>
        <w:jc w:val="left"/>
      </w:pPr>
      <w:r>
        <w:rPr/>
        <w:t>六、其他需要说明的情况，包括评标过程中投标人根据评标委员会要求进行的澄清、说明或者补正，评标委员会成员的更换等；</w:t>
      </w:r>
    </w:p>
    <w:p>
      <w:pPr>
        <w:pStyle w:val="null3"/>
        <w:ind w:firstLine="480"/>
        <w:jc w:val="left"/>
      </w:pPr>
      <w:r>
        <w:rPr/>
        <w:t>七、报价最高的投标人为中标候选人的，评标委员会应当对其报价的合理性予以特别说明。</w:t>
      </w:r>
    </w:p>
    <w:p>
      <w:pPr>
        <w:pStyle w:val="null3"/>
        <w:ind w:firstLine="480"/>
        <w:jc w:val="left"/>
      </w:pPr>
      <w:r>
        <w:rPr/>
        <w:t>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jc w:val="left"/>
        <w:outlineLvl w:val="3"/>
      </w:pPr>
      <w:r>
        <w:rPr>
          <w:b/>
          <w:sz w:val="24"/>
        </w:rPr>
        <w:t>5.3.10.评标争议处理规则</w:t>
      </w:r>
    </w:p>
    <w:p>
      <w:pPr>
        <w:pStyle w:val="null3"/>
        <w:ind w:firstLine="480"/>
        <w:jc w:val="left"/>
      </w:pPr>
      <w:r>
        <w:rPr/>
        <w:t>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b/>
          <w:sz w:val="28"/>
        </w:rPr>
        <w:t>5.4.评标方法、细则及标准</w:t>
      </w:r>
    </w:p>
    <w:p>
      <w:pPr>
        <w:pStyle w:val="null3"/>
        <w:ind w:firstLine="480"/>
        <w:jc w:val="left"/>
      </w:pPr>
      <w:r>
        <w:rPr/>
        <w:t>评标委员会应当按照客观、公正、审慎的原则，根据招标文件规定的评标程序、评标方法和评标标准进行独立评审。</w:t>
      </w:r>
    </w:p>
    <w:p>
      <w:pPr>
        <w:pStyle w:val="null3"/>
        <w:jc w:val="left"/>
        <w:outlineLvl w:val="3"/>
      </w:pPr>
      <w:r>
        <w:rPr>
          <w:b/>
          <w:sz w:val="24"/>
        </w:rPr>
        <w:t>5.4.1.评分办法</w:t>
      </w:r>
    </w:p>
    <w:p>
      <w:pPr>
        <w:pStyle w:val="null3"/>
        <w:ind w:firstLine="480"/>
        <w:jc w:val="left"/>
      </w:pPr>
      <w:r>
        <w:rPr/>
        <w:t>（一）若采用综合评分法的，由评标委员会各成员对通过资格审查和符合性审查的投标人的投标文件进行独立评标。</w:t>
      </w:r>
    </w:p>
    <w:p>
      <w:pPr>
        <w:pStyle w:val="null3"/>
        <w:ind w:firstLine="960"/>
        <w:jc w:val="left"/>
      </w:pPr>
      <w:r>
        <w:rPr/>
        <w:t>投标报价得分=(评标基准价／投标报价)×100</w:t>
      </w:r>
    </w:p>
    <w:p>
      <w:pPr>
        <w:pStyle w:val="null3"/>
        <w:ind w:firstLine="960"/>
        <w:jc w:val="left"/>
      </w:pPr>
      <w:r>
        <w:rPr/>
        <w:t>评标总得分＝F1×A1＋F2×A2＋……＋Fn×An</w:t>
      </w:r>
    </w:p>
    <w:p>
      <w:pPr>
        <w:pStyle w:val="null3"/>
        <w:ind w:firstLine="960"/>
        <w:jc w:val="left"/>
      </w:pPr>
      <w:r>
        <w:rPr/>
        <w:t>F1、F2……Fn分别为各项评审因素的得分；</w:t>
      </w:r>
    </w:p>
    <w:p>
      <w:pPr>
        <w:pStyle w:val="null3"/>
        <w:ind w:firstLine="960"/>
        <w:jc w:val="left"/>
      </w:pPr>
      <w:r>
        <w:rPr/>
        <w:t>A1、A2、……An 分别为各项评审因素所占的权重（A1＋A2＋……＋An＝1）。</w:t>
      </w:r>
    </w:p>
    <w:p>
      <w:pPr>
        <w:pStyle w:val="null3"/>
        <w:ind w:firstLine="480"/>
        <w:jc w:val="left"/>
      </w:pPr>
      <w:r>
        <w:rPr/>
        <w:t>评标过程中，不得去掉报价中的最高报价和最低报价。</w:t>
      </w:r>
    </w:p>
    <w:p>
      <w:pPr>
        <w:pStyle w:val="null3"/>
        <w:ind w:firstLine="480"/>
        <w:jc w:val="left"/>
      </w:pPr>
      <w:r>
        <w:rPr/>
        <w:t>说明：</w:t>
      </w:r>
    </w:p>
    <w:p>
      <w:pPr>
        <w:pStyle w:val="null3"/>
        <w:ind w:firstLine="480"/>
        <w:jc w:val="left"/>
      </w:pPr>
      <w:r>
        <w:rPr/>
        <w:t>1.评分的取值按四舍五入法，保留小数点后两位；</w:t>
      </w:r>
    </w:p>
    <w:p>
      <w:pPr>
        <w:pStyle w:val="null3"/>
        <w:ind w:firstLine="480"/>
        <w:jc w:val="left"/>
      </w:pPr>
      <w:r>
        <w:rPr/>
        <w:t>2.评分标准中要求提供的证明材料须清晰可辨。</w:t>
      </w:r>
    </w:p>
    <w:p>
      <w:pPr>
        <w:pStyle w:val="null3"/>
        <w:ind w:firstLine="480"/>
        <w:jc w:val="left"/>
      </w:pPr>
      <w:r>
        <w:rPr/>
        <w:t>因落实政府采购政策进行价格调整的，以调整后的价格计算评标基准价和投标报价。</w:t>
      </w:r>
    </w:p>
    <w:p>
      <w:pPr>
        <w:pStyle w:val="null3"/>
        <w:ind w:firstLine="480"/>
        <w:jc w:val="left"/>
      </w:pPr>
      <w:r>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b/>
          <w:sz w:val="24"/>
        </w:rPr>
        <w:t>5.4.2.评标细则及标准</w:t>
      </w:r>
    </w:p>
    <w:p>
      <w:pPr>
        <w:pStyle w:val="null3"/>
        <w:jc w:val="left"/>
      </w:pPr>
      <w:r>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jc w:val="left"/>
            </w:pPr>
            <w:r>
              <w:rPr/>
              <w:t>详细评审70.00分</w:t>
            </w:r>
          </w:p>
          <w:p>
            <w:pPr>
              <w:pStyle w:val="null3"/>
              <w:jc w:val="left"/>
            </w:pPr>
            <w:r>
              <w:rPr/>
              <w:t>报价得分30.00分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评审内容</w:t>
            </w:r>
          </w:p>
        </w:tc>
        <w:tc>
          <w:tcPr>
            <w:tcW w:type="dxa" w:w="2575"/>
          </w:tcPr>
          <w:p>
            <w:pPr>
              <w:pStyle w:val="null3"/>
              <w:jc w:val="center"/>
            </w:pPr>
            <w:r>
              <w:rPr/>
              <w:t xml:space="preserve"> 具体标准和要求</w:t>
            </w:r>
          </w:p>
        </w:tc>
        <w:tc>
          <w:tcPr>
            <w:tcW w:type="dxa" w:w="831"/>
          </w:tcPr>
          <w:p>
            <w:pPr>
              <w:pStyle w:val="null3"/>
              <w:jc w:val="center"/>
            </w:pPr>
            <w:r>
              <w:rPr>
                <w:b/>
              </w:rPr>
              <w:t xml:space="preserve"> 评标分值</w:t>
            </w:r>
          </w:p>
        </w:tc>
        <w:tc>
          <w:tcPr>
            <w:tcW w:type="dxa" w:w="748"/>
          </w:tcPr>
          <w:p>
            <w:pPr>
              <w:pStyle w:val="null3"/>
              <w:jc w:val="center"/>
            </w:pPr>
            <w:r>
              <w:rPr/>
              <w:t xml:space="preserve"> 客观/主观</w:t>
            </w:r>
          </w:p>
        </w:tc>
        <w:tc>
          <w:tcPr>
            <w:tcW w:type="dxa" w:w="1661"/>
          </w:tcPr>
          <w:p>
            <w:pPr>
              <w:pStyle w:val="null3"/>
              <w:jc w:val="center"/>
            </w:pPr>
            <w:r>
              <w:rPr>
                <w:b/>
              </w:rPr>
              <w:t xml:space="preserve"> 关联投标文件格式文本</w:t>
            </w:r>
          </w:p>
        </w:tc>
      </w:tr>
      <w:tr>
        <w:tc>
          <w:tcPr>
            <w:tcW w:type="dxa" w:w="831"/>
            <w:vMerge w:val="restart"/>
          </w:tcPr>
          <w:p>
            <w:pPr>
              <w:pStyle w:val="null3"/>
              <w:jc w:val="left"/>
            </w:pPr>
            <w:r>
              <w:rPr/>
              <w:t>详细评审</w:t>
            </w:r>
          </w:p>
        </w:tc>
        <w:tc>
          <w:tcPr>
            <w:tcW w:type="dxa" w:w="1661"/>
          </w:tcPr>
          <w:p>
            <w:pPr>
              <w:pStyle w:val="null3"/>
              <w:jc w:val="left"/>
            </w:pPr>
            <w:r>
              <w:rPr/>
              <w:t>技术要求</w:t>
            </w:r>
          </w:p>
        </w:tc>
        <w:tc>
          <w:tcPr>
            <w:tcW w:type="dxa" w:w="2575"/>
          </w:tcPr>
          <w:p>
            <w:pPr>
              <w:pStyle w:val="null3"/>
              <w:jc w:val="left"/>
            </w:pPr>
            <w:r>
              <w:rPr/>
              <w:t>投标文件完全符合采购项目技术参数要求没有负偏离的得 48分；技术参数中，每有一项带“▲ ”号（共 9项，27分）的参数负偏离的扣 3分；每有一项带“●”符号（共 70 项，21分） 的参数负偏离的扣 0.3分，直至本项分值扣完为止。带“▲ ”提供对应检测报告，带“●”逐条响应即可，带“★”逐条响应。</w:t>
            </w:r>
          </w:p>
        </w:tc>
        <w:tc>
          <w:tcPr>
            <w:tcW w:type="dxa" w:w="831"/>
          </w:tcPr>
          <w:p>
            <w:pPr>
              <w:pStyle w:val="null3"/>
              <w:jc w:val="center"/>
            </w:pPr>
            <w:r>
              <w:rPr/>
              <w:t>48.00</w:t>
            </w:r>
          </w:p>
        </w:tc>
        <w:tc>
          <w:tcPr>
            <w:tcW w:type="dxa" w:w="748"/>
          </w:tcPr>
          <w:p>
            <w:pPr>
              <w:pStyle w:val="null3"/>
              <w:jc w:val="center"/>
            </w:pPr>
            <w:r>
              <w:rPr/>
              <w:t>客观</w:t>
            </w:r>
          </w:p>
        </w:tc>
        <w:tc>
          <w:tcPr>
            <w:tcW w:type="dxa" w:w="1661"/>
          </w:tcPr>
          <w:p>
            <w:pPr>
              <w:pStyle w:val="null3"/>
              <w:jc w:val="left"/>
            </w:pPr>
            <w:r>
              <w:rPr/>
              <w:t>产品技术参数响应表</w:t>
            </w:r>
          </w:p>
        </w:tc>
      </w:tr>
      <w:tr>
        <w:tc>
          <w:tcPr>
            <w:tcW w:type="dxa" w:w="831"/>
            <w:vMerge/>
          </w:tcPr>
          <w:p/>
        </w:tc>
        <w:tc>
          <w:tcPr>
            <w:tcW w:type="dxa" w:w="1661"/>
          </w:tcPr>
          <w:p>
            <w:pPr>
              <w:pStyle w:val="null3"/>
              <w:jc w:val="left"/>
            </w:pPr>
            <w:r>
              <w:rPr/>
              <w:t>实施方案</w:t>
            </w:r>
          </w:p>
        </w:tc>
        <w:tc>
          <w:tcPr>
            <w:tcW w:type="dxa" w:w="2575"/>
          </w:tcPr>
          <w:p>
            <w:pPr>
              <w:pStyle w:val="null3"/>
              <w:jc w:val="left"/>
            </w:pPr>
            <w:r>
              <w:rPr/>
              <w:t>根据投标人针对本项目拟提供的项目实施方案进行评审，包含：①设备调试和测试方案；②培训制度及措施；③应急预案及措施；④人员配备情况；⑤售后服务方案。以上内容齐全，无缺陷的得13分，每缺少一项扣2.6分，每存在一项有缺陷扣1.3分，扣完为止。 （缺陷指：存在项目名称错误、地点区域错误、内容与本项目需求无关、仅有框架或标题、适用的标准（方法）错误、明显复制其他项目内容等任意一种情形。）</w:t>
            </w:r>
          </w:p>
        </w:tc>
        <w:tc>
          <w:tcPr>
            <w:tcW w:type="dxa" w:w="831"/>
          </w:tcPr>
          <w:p>
            <w:pPr>
              <w:pStyle w:val="null3"/>
              <w:jc w:val="center"/>
            </w:pPr>
            <w:r>
              <w:rPr/>
              <w:t>13.00</w:t>
            </w:r>
          </w:p>
        </w:tc>
        <w:tc>
          <w:tcPr>
            <w:tcW w:type="dxa" w:w="748"/>
          </w:tcPr>
          <w:p>
            <w:pPr>
              <w:pStyle w:val="null3"/>
              <w:jc w:val="center"/>
            </w:pPr>
            <w:r>
              <w:rPr/>
              <w:t>主观</w:t>
            </w:r>
          </w:p>
        </w:tc>
        <w:tc>
          <w:tcPr>
            <w:tcW w:type="dxa" w:w="1661"/>
          </w:tcPr>
          <w:p>
            <w:pPr>
              <w:pStyle w:val="null3"/>
              <w:jc w:val="left"/>
            </w:pPr>
            <w:r>
              <w:rPr/>
              <w:t>服务方案</w:t>
            </w:r>
          </w:p>
        </w:tc>
      </w:tr>
      <w:tr>
        <w:tc>
          <w:tcPr>
            <w:tcW w:type="dxa" w:w="831"/>
            <w:vMerge/>
          </w:tcPr>
          <w:p/>
        </w:tc>
        <w:tc>
          <w:tcPr>
            <w:tcW w:type="dxa" w:w="1661"/>
          </w:tcPr>
          <w:p>
            <w:pPr>
              <w:pStyle w:val="null3"/>
              <w:jc w:val="left"/>
            </w:pPr>
            <w:r>
              <w:rPr/>
              <w:t>业绩</w:t>
            </w:r>
          </w:p>
        </w:tc>
        <w:tc>
          <w:tcPr>
            <w:tcW w:type="dxa" w:w="2575"/>
          </w:tcPr>
          <w:p>
            <w:pPr>
              <w:pStyle w:val="null3"/>
              <w:jc w:val="left"/>
            </w:pPr>
            <w:r>
              <w:rPr/>
              <w:t>供应商提供自 2021年 1 月 1 日以来，每有一个类似项目业绩的 3 分，最多得 9分，未提供不得分。 注：1、提供中标（成交）通知书或合同复印件并盖章。提供合同的以合同签订时间为准。</w:t>
            </w:r>
          </w:p>
        </w:tc>
        <w:tc>
          <w:tcPr>
            <w:tcW w:type="dxa" w:w="831"/>
          </w:tcPr>
          <w:p>
            <w:pPr>
              <w:pStyle w:val="null3"/>
              <w:jc w:val="center"/>
            </w:pPr>
            <w:r>
              <w:rPr/>
              <w:t>9.00</w:t>
            </w:r>
          </w:p>
        </w:tc>
        <w:tc>
          <w:tcPr>
            <w:tcW w:type="dxa" w:w="748"/>
          </w:tcPr>
          <w:p>
            <w:pPr>
              <w:pStyle w:val="null3"/>
              <w:jc w:val="center"/>
            </w:pPr>
            <w:r>
              <w:rPr/>
              <w:t>客观</w:t>
            </w:r>
          </w:p>
        </w:tc>
        <w:tc>
          <w:tcPr>
            <w:tcW w:type="dxa" w:w="1661"/>
          </w:tcPr>
          <w:p>
            <w:pPr>
              <w:pStyle w:val="null3"/>
              <w:jc w:val="left"/>
            </w:pPr>
            <w:r>
              <w:rPr/>
              <w:t>供应商类似项目业绩一览表</w:t>
            </w:r>
          </w:p>
        </w:tc>
      </w:tr>
      <w:tr>
        <w:tc>
          <w:tcPr>
            <w:tcW w:type="dxa" w:w="831"/>
          </w:tcPr>
          <w:p>
            <w:pPr>
              <w:pStyle w:val="null3"/>
              <w:jc w:val="left"/>
            </w:pPr>
            <w:r>
              <w:rPr/>
              <w:t>价格分</w:t>
            </w:r>
          </w:p>
        </w:tc>
        <w:tc>
          <w:tcPr>
            <w:tcW w:type="dxa" w:w="1661"/>
          </w:tcPr>
          <w:p>
            <w:pPr>
              <w:pStyle w:val="null3"/>
              <w:jc w:val="left"/>
            </w:pPr>
            <w:r>
              <w:rPr/>
              <w:t>合同包一</w:t>
            </w:r>
          </w:p>
        </w:tc>
        <w:tc>
          <w:tcPr>
            <w:tcW w:type="dxa" w:w="2575"/>
          </w:tcPr>
          <w:p>
            <w:pPr>
              <w:pStyle w:val="null3"/>
              <w:jc w:val="left"/>
            </w:pPr>
            <w:r>
              <w:rPr/>
              <w:t>1. 经评标委员会评审，通过资格和符合性审查，且投标报价最低的投标人的投标报价作为评标基准价。2.其他投标报价得分=(评标基准价／投标报价)×分值。</w:t>
            </w:r>
          </w:p>
        </w:tc>
        <w:tc>
          <w:tcPr>
            <w:tcW w:type="dxa" w:w="831"/>
          </w:tcPr>
          <w:p>
            <w:pPr>
              <w:pStyle w:val="null3"/>
              <w:jc w:val="center"/>
            </w:pPr>
            <w:r>
              <w:rPr/>
              <w:t>30.00</w:t>
            </w:r>
          </w:p>
        </w:tc>
        <w:tc>
          <w:tcPr>
            <w:tcW w:type="dxa" w:w="748"/>
          </w:tcPr>
          <w:p>
            <w:pPr>
              <w:pStyle w:val="null3"/>
              <w:jc w:val="center"/>
            </w:pPr>
            <w:r>
              <w:rPr/>
              <w:t>客观</w:t>
            </w:r>
          </w:p>
        </w:tc>
        <w:tc>
          <w:tcPr>
            <w:tcW w:type="dxa" w:w="1661"/>
          </w:tcPr>
          <w:p>
            <w:pPr>
              <w:pStyle w:val="null3"/>
              <w:jc w:val="left"/>
            </w:pPr>
            <w:r>
              <w:rPr/>
              <w:t>报价一览表</w:t>
            </w:r>
          </w:p>
        </w:tc>
      </w:tr>
    </w:tbl>
    <w:p>
      <w:pPr>
        <w:pStyle w:val="null3"/>
        <w:jc w:val="left"/>
        <w:outlineLvl w:val="3"/>
      </w:pPr>
      <w:r>
        <w:rPr>
          <w:b/>
          <w:sz w:val="24"/>
        </w:rPr>
        <w:t>价格扣除</w:t>
      </w:r>
    </w:p>
    <w:p>
      <w:pPr>
        <w:pStyle w:val="null3"/>
        <w:jc w:val="left"/>
      </w:pPr>
      <w:r>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t xml:space="preserve"> 序号</w:t>
            </w:r>
          </w:p>
        </w:tc>
        <w:tc>
          <w:tcPr>
            <w:tcW w:type="dxa" w:w="1661"/>
          </w:tcPr>
          <w:p>
            <w:pPr>
              <w:pStyle w:val="null3"/>
              <w:jc w:val="center"/>
            </w:pPr>
            <w:r>
              <w:rPr/>
              <w:t xml:space="preserve"> 价格扣除评审内容</w:t>
            </w:r>
          </w:p>
        </w:tc>
        <w:tc>
          <w:tcPr>
            <w:tcW w:type="dxa" w:w="1661"/>
          </w:tcPr>
          <w:p>
            <w:pPr>
              <w:pStyle w:val="null3"/>
              <w:jc w:val="center"/>
            </w:pPr>
            <w:r>
              <w:rPr/>
              <w:t xml:space="preserve"> 适用情形</w:t>
            </w:r>
          </w:p>
        </w:tc>
        <w:tc>
          <w:tcPr>
            <w:tcW w:type="dxa" w:w="831"/>
          </w:tcPr>
          <w:p>
            <w:pPr>
              <w:pStyle w:val="null3"/>
              <w:jc w:val="center"/>
            </w:pPr>
            <w:r>
              <w:rPr/>
              <w:t xml:space="preserve"> 扣除比例%（以“C1”表示）</w:t>
            </w:r>
          </w:p>
        </w:tc>
        <w:tc>
          <w:tcPr>
            <w:tcW w:type="dxa" w:w="1661"/>
          </w:tcPr>
          <w:p>
            <w:pPr>
              <w:pStyle w:val="null3"/>
              <w:jc w:val="center"/>
            </w:pPr>
            <w:r>
              <w:rPr/>
              <w:t xml:space="preserve"> 具体标准和要求</w:t>
            </w:r>
          </w:p>
        </w:tc>
        <w:tc>
          <w:tcPr>
            <w:tcW w:type="dxa" w:w="1910"/>
          </w:tcPr>
          <w:p>
            <w:pPr>
              <w:pStyle w:val="null3"/>
              <w:jc w:val="center"/>
            </w:pPr>
            <w:r>
              <w:rPr>
                <w:b/>
              </w:rPr>
              <w:t xml:space="preserve"> 关联投标文件格式文本</w:t>
            </w:r>
          </w:p>
        </w:tc>
      </w:tr>
      <w:tr>
        <w:tc>
          <w:tcPr>
            <w:tcW w:type="dxa" w:w="581"/>
          </w:tcPr>
          <w:p>
            <w:pPr>
              <w:pStyle w:val="null3"/>
              <w:jc w:val="left"/>
            </w:pPr>
            <w:r>
              <w:rPr/>
              <w:t>1</w:t>
            </w:r>
          </w:p>
        </w:tc>
        <w:tc>
          <w:tcPr>
            <w:tcW w:type="dxa" w:w="1661"/>
          </w:tcPr>
          <w:p>
            <w:pPr>
              <w:pStyle w:val="null3"/>
              <w:jc w:val="left"/>
            </w:pPr>
            <w:r>
              <w:rPr/>
              <w:t>落实支持中小企业发展政策</w:t>
            </w:r>
          </w:p>
        </w:tc>
        <w:tc>
          <w:tcPr>
            <w:tcW w:type="dxa" w:w="1661"/>
          </w:tcPr>
          <w:p>
            <w:pPr>
              <w:pStyle w:val="null3"/>
              <w:jc w:val="left"/>
            </w:pPr>
            <w:r>
              <w:rPr/>
              <w:t>符合《政府采购促进中小企业发展管理办法》（财库〔2020〕46号）规定的小微企业报价给予扣除，用扣除后的价格参加评审。</w:t>
            </w:r>
          </w:p>
        </w:tc>
        <w:tc>
          <w:tcPr>
            <w:tcW w:type="dxa" w:w="831"/>
          </w:tcPr>
          <w:p>
            <w:pPr>
              <w:pStyle w:val="null3"/>
              <w:jc w:val="right"/>
            </w:pPr>
            <w:r>
              <w:rPr/>
              <w:t>10.00%</w:t>
            </w:r>
          </w:p>
        </w:tc>
        <w:tc>
          <w:tcPr>
            <w:tcW w:type="dxa" w:w="1661"/>
          </w:tcPr>
          <w:p>
            <w:pPr>
              <w:pStyle w:val="null3"/>
              <w:jc w:val="left"/>
            </w:pPr>
            <w:r>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t>报价一览表 中小企业声明函 残疾人福利性单位声明函 供应商认为需要提供的其他材料 监狱企业的证明文件</w:t>
            </w:r>
          </w:p>
        </w:tc>
      </w:tr>
    </w:tbl>
    <w:p>
      <w:pPr>
        <w:pStyle w:val="null3"/>
        <w:jc w:val="left"/>
      </w:pPr>
      <w:r>
        <w:rPr>
          <w:b/>
        </w:rPr>
        <w:t>优先采购产品评审细则</w:t>
      </w:r>
    </w:p>
    <w:p>
      <w:pPr>
        <w:pStyle w:val="null3"/>
        <w:jc w:val="left"/>
      </w:pPr>
      <w:r>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b/>
              </w:rPr>
              <w:t>序号</w:t>
            </w:r>
          </w:p>
        </w:tc>
        <w:tc>
          <w:tcPr>
            <w:tcW w:type="dxa" w:w="2396"/>
          </w:tcPr>
          <w:p>
            <w:pPr>
              <w:pStyle w:val="null3"/>
              <w:jc w:val="center"/>
            </w:pPr>
            <w:r>
              <w:rPr>
                <w:b/>
              </w:rPr>
              <w:t>评审内容</w:t>
            </w:r>
          </w:p>
        </w:tc>
        <w:tc>
          <w:tcPr>
            <w:tcW w:type="dxa" w:w="2396"/>
          </w:tcPr>
          <w:p>
            <w:pPr>
              <w:pStyle w:val="null3"/>
              <w:jc w:val="center"/>
            </w:pPr>
            <w:r>
              <w:rPr>
                <w:b/>
              </w:rPr>
              <w:t xml:space="preserve"> 具体标准和要求</w:t>
            </w:r>
          </w:p>
        </w:tc>
        <w:tc>
          <w:tcPr>
            <w:tcW w:type="dxa" w:w="2955"/>
          </w:tcPr>
          <w:p>
            <w:pPr>
              <w:pStyle w:val="null3"/>
              <w:jc w:val="center"/>
            </w:pPr>
            <w:r>
              <w:rPr>
                <w:b/>
              </w:rPr>
              <w:t xml:space="preserve"> 关联投标文件格式文本</w:t>
            </w:r>
          </w:p>
        </w:tc>
      </w:tr>
      <w:tr>
        <w:tc>
          <w:tcPr>
            <w:tcW w:type="dxa" w:w="8306"/>
            <w:gridSpan w:val="4"/>
          </w:tcPr>
          <w:p>
            <w:pPr>
              <w:pStyle w:val="null3"/>
              <w:jc w:val="left"/>
            </w:pPr>
            <w:r>
              <w:rPr/>
              <w:t>无</w:t>
            </w:r>
          </w:p>
        </w:tc>
      </w:tr>
    </w:tbl>
    <w:p>
      <w:pPr>
        <w:pStyle w:val="null3"/>
        <w:jc w:val="left"/>
        <w:outlineLvl w:val="2"/>
      </w:pPr>
      <w:r>
        <w:rPr>
          <w:b/>
          <w:sz w:val="28"/>
        </w:rPr>
        <w:t>5.5.废标</w:t>
      </w:r>
    </w:p>
    <w:p>
      <w:pPr>
        <w:pStyle w:val="null3"/>
        <w:ind w:firstLine="480"/>
        <w:jc w:val="left"/>
      </w:pPr>
      <w:r>
        <w:rPr/>
        <w:t>本次政府采购活动中，出现下列情形之一的，予以废标：</w:t>
      </w:r>
    </w:p>
    <w:p>
      <w:pPr>
        <w:pStyle w:val="null3"/>
        <w:ind w:firstLine="480"/>
        <w:jc w:val="left"/>
      </w:pPr>
      <w:r>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t>二、出现影响采购公正的违法、违规行为的；</w:t>
      </w:r>
    </w:p>
    <w:p>
      <w:pPr>
        <w:pStyle w:val="null3"/>
        <w:ind w:firstLine="480"/>
        <w:jc w:val="left"/>
      </w:pPr>
      <w:r>
        <w:rPr/>
        <w:t>三、投标人的报价均超过了采购预算，采购人不能支付的；</w:t>
      </w:r>
    </w:p>
    <w:p>
      <w:pPr>
        <w:pStyle w:val="null3"/>
        <w:ind w:firstLine="480"/>
        <w:jc w:val="left"/>
      </w:pPr>
      <w:r>
        <w:rPr/>
        <w:t>四、因重大变故，采购任务取消的；</w:t>
      </w:r>
    </w:p>
    <w:p>
      <w:pPr>
        <w:pStyle w:val="null3"/>
        <w:ind w:firstLine="480"/>
        <w:jc w:val="left"/>
      </w:pPr>
      <w:r>
        <w:rPr/>
        <w:t>废标后，代理机构将在四川政府采购网上公告。</w:t>
      </w:r>
    </w:p>
    <w:p>
      <w:pPr>
        <w:pStyle w:val="null3"/>
        <w:jc w:val="left"/>
        <w:outlineLvl w:val="2"/>
      </w:pPr>
      <w:r>
        <w:rPr>
          <w:b/>
          <w:sz w:val="28"/>
        </w:rPr>
        <w:t>5.6.定标</w:t>
      </w:r>
    </w:p>
    <w:p>
      <w:pPr>
        <w:pStyle w:val="null3"/>
        <w:jc w:val="left"/>
      </w:pPr>
      <w:r>
        <w:rPr/>
        <w:t>采购人在评标报告确定的中标候选人名单中按顺序确定中标人。</w:t>
      </w:r>
    </w:p>
    <w:p>
      <w:pPr>
        <w:pStyle w:val="null3"/>
        <w:jc w:val="left"/>
      </w:pPr>
      <w:r>
        <w:rPr/>
        <w:t>一、代理机构应当在评标结束后2个工作日内将评标报告送采购人。</w:t>
      </w:r>
    </w:p>
    <w:p>
      <w:pPr>
        <w:pStyle w:val="null3"/>
        <w:jc w:val="left"/>
      </w:pPr>
      <w:r>
        <w:rPr/>
        <w:t>二、采购人在收到评标报告5个工作日，在评标报告确定的中标候选人名单中按顺序确定中标人，内未按评标报告推荐的中标候选人顺序确定中标人，又不能说明合法理由的，视同按评标报告推荐的顺序确定排名第一的中标候选人为中标人。</w:t>
      </w:r>
    </w:p>
    <w:p>
      <w:pPr>
        <w:pStyle w:val="null3"/>
        <w:jc w:val="left"/>
      </w:pPr>
      <w:r>
        <w:rPr/>
        <w:t>三、采购人或者代理机构应当自中标人确定之日起 2 个工作日内，在四川政府采购网上公告中标结果，招标文件应当随中标结果同时公告。</w:t>
      </w:r>
    </w:p>
    <w:p>
      <w:pPr>
        <w:pStyle w:val="null3"/>
        <w:jc w:val="left"/>
        <w:outlineLvl w:val="2"/>
      </w:pPr>
      <w:r>
        <w:rPr>
          <w:b/>
          <w:sz w:val="28"/>
        </w:rPr>
        <w:t>5.7.评标委员会义务</w:t>
      </w:r>
    </w:p>
    <w:p>
      <w:pPr>
        <w:pStyle w:val="null3"/>
        <w:ind w:firstLine="480"/>
        <w:jc w:val="left"/>
      </w:pPr>
      <w:r>
        <w:rPr/>
        <w:t>评标委员会在政府采购活动中应当履行下列义务：</w:t>
      </w:r>
    </w:p>
    <w:p>
      <w:pPr>
        <w:pStyle w:val="null3"/>
        <w:ind w:firstLine="480"/>
        <w:jc w:val="left"/>
      </w:pPr>
      <w:r>
        <w:rPr/>
        <w:t>一、遵守评审工作纪律；</w:t>
      </w:r>
    </w:p>
    <w:p>
      <w:pPr>
        <w:pStyle w:val="null3"/>
        <w:ind w:firstLine="480"/>
        <w:jc w:val="left"/>
      </w:pPr>
      <w:r>
        <w:rPr/>
        <w:t>二、按照客观、公正、审慎的原则，根据招标文件规定的评审程序、评审方法和评审标准进行独立评审；</w:t>
      </w:r>
    </w:p>
    <w:p>
      <w:pPr>
        <w:pStyle w:val="null3"/>
        <w:ind w:firstLine="480"/>
        <w:jc w:val="left"/>
      </w:pPr>
      <w:r>
        <w:rPr/>
        <w:t>三、不得泄露评审文件、评审情况和在评审过程中获悉的商业秘密；</w:t>
      </w:r>
    </w:p>
    <w:p>
      <w:pPr>
        <w:pStyle w:val="null3"/>
        <w:ind w:firstLine="480"/>
        <w:jc w:val="left"/>
      </w:pPr>
      <w:r>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t>六、配合答复处理供应商的询问、质疑和投诉等事项；</w:t>
      </w:r>
    </w:p>
    <w:p>
      <w:pPr>
        <w:pStyle w:val="null3"/>
        <w:ind w:firstLine="480"/>
        <w:jc w:val="left"/>
      </w:pPr>
      <w:r>
        <w:rPr/>
        <w:t>七、法律、法规和规章规定的其他义务。</w:t>
      </w:r>
    </w:p>
    <w:p>
      <w:pPr>
        <w:pStyle w:val="null3"/>
        <w:jc w:val="left"/>
        <w:outlineLvl w:val="2"/>
      </w:pPr>
      <w:r>
        <w:rPr>
          <w:b/>
          <w:sz w:val="28"/>
        </w:rPr>
        <w:t>5.8.评标委员会成员工作纪律</w:t>
      </w:r>
    </w:p>
    <w:p>
      <w:pPr>
        <w:pStyle w:val="null3"/>
        <w:ind w:firstLine="480"/>
        <w:jc w:val="left"/>
      </w:pPr>
      <w:r>
        <w:rPr/>
        <w:t>评标委员会成员在政府采购活动中应当遵守以下工作纪律：</w:t>
      </w:r>
    </w:p>
    <w:p>
      <w:pPr>
        <w:pStyle w:val="null3"/>
        <w:ind w:firstLine="480"/>
        <w:jc w:val="left"/>
      </w:pPr>
      <w:r>
        <w:rPr/>
        <w:t>一、严格遵守政府采购法律制度关于评标委员会成员回避的规定。</w:t>
      </w:r>
    </w:p>
    <w:p>
      <w:pPr>
        <w:pStyle w:val="null3"/>
        <w:ind w:firstLine="480"/>
        <w:jc w:val="left"/>
      </w:pPr>
      <w:r>
        <w:rPr/>
        <w:t>二、评审前，应当将通讯工具或者相关电子设备交由代理机构统一保管。</w:t>
      </w:r>
    </w:p>
    <w:p>
      <w:pPr>
        <w:pStyle w:val="null3"/>
        <w:ind w:firstLine="480"/>
        <w:jc w:val="left"/>
      </w:pPr>
      <w:r>
        <w:rPr/>
        <w:t>三、评审过程中，不得与外界联系，因发生不可预见情况，确实需要与外界联系的，应当在监督人员监督之下办理。</w:t>
      </w:r>
    </w:p>
    <w:p>
      <w:pPr>
        <w:pStyle w:val="null3"/>
        <w:ind w:firstLine="480"/>
        <w:jc w:val="left"/>
      </w:pPr>
      <w:r>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t>五、在评审过程中和评审结束后，不得记录、复制或带走任何评审资料，除因配合答复处理供应商的询问、质疑和投诉等事项外，不得向外界透露评审内容。</w:t>
      </w:r>
    </w:p>
    <w:p>
      <w:pPr>
        <w:pStyle w:val="null3"/>
        <w:ind w:firstLine="480"/>
        <w:jc w:val="left"/>
      </w:pPr>
      <w:r>
        <w:rPr/>
        <w:t>六、服从评审现场代理机构的现场秩序管理，接受评审现场监督人员的合法监督。</w:t>
      </w:r>
    </w:p>
    <w:p>
      <w:pPr>
        <w:pStyle w:val="null3"/>
        <w:ind w:firstLine="480"/>
        <w:jc w:val="left"/>
      </w:pPr>
      <w:r>
        <w:rPr/>
        <w:t>七、遵守有关廉洁自律规定，不得私下接触投标人，不得收受投标人及有关业务单位和个人的财物或好处，不得接受采购人、代理机构的请托。</w:t>
      </w:r>
    </w:p>
    <w:p>
      <w:pPr>
        <w:pStyle w:val="null3"/>
      </w:pPr>
      <w:r>
        <w:rPr/>
        <w:t xml:space="preserve"> </w:t>
        <w:br/>
        <w:br w:type="page"/>
      </w:r>
    </w:p>
    <w:p>
      <w:pPr>
        <w:pStyle w:val="null3"/>
        <w:jc w:val="center"/>
        <w:outlineLvl w:val="1"/>
      </w:pPr>
      <w:r>
        <w:rPr>
          <w:b/>
          <w:sz w:val="36"/>
        </w:rPr>
        <w:t>第六章 投标文件格式</w:t>
      </w:r>
    </w:p>
    <w:p>
      <w:pPr>
        <w:pStyle w:val="null3"/>
        <w:jc w:val="left"/>
      </w:pPr>
      <w:r>
        <w:rPr/>
        <w:t>采购包1：</w:t>
      </w:r>
    </w:p>
    <w:p>
      <w:pPr>
        <w:pStyle w:val="null3"/>
        <w:jc w:val="left"/>
      </w:pPr>
      <w:r>
        <w:rPr/>
        <w:t>分册名称：投标响应文件分册</w:t>
      </w:r>
    </w:p>
    <w:p>
      <w:pPr>
        <w:pStyle w:val="null3"/>
        <w:ind w:firstLine="960"/>
        <w:jc w:val="left"/>
      </w:pPr>
      <w:r>
        <w:rPr/>
        <w:t>详见附件：投标文件封面</w:t>
      </w:r>
    </w:p>
    <w:p>
      <w:pPr>
        <w:pStyle w:val="null3"/>
        <w:ind w:firstLine="960"/>
        <w:jc w:val="left"/>
      </w:pPr>
      <w:r>
        <w:rPr/>
        <w:t>详见附件：投标（响应）函</w:t>
      </w:r>
    </w:p>
    <w:p>
      <w:pPr>
        <w:pStyle w:val="null3"/>
        <w:ind w:firstLine="960"/>
        <w:jc w:val="left"/>
      </w:pPr>
      <w:r>
        <w:rPr/>
        <w:t>详见附件：中小企业声明函</w:t>
      </w:r>
    </w:p>
    <w:p>
      <w:pPr>
        <w:pStyle w:val="null3"/>
        <w:ind w:firstLine="960"/>
        <w:jc w:val="left"/>
      </w:pPr>
      <w:r>
        <w:rPr/>
        <w:t>详见附件：残疾人福利性单位声明函</w:t>
      </w:r>
    </w:p>
    <w:p>
      <w:pPr>
        <w:pStyle w:val="null3"/>
        <w:ind w:firstLine="960"/>
        <w:jc w:val="left"/>
      </w:pPr>
      <w:r>
        <w:rPr/>
        <w:t>详见附件：监狱企业的证明文件</w:t>
      </w:r>
    </w:p>
    <w:p>
      <w:pPr>
        <w:pStyle w:val="null3"/>
        <w:ind w:firstLine="960"/>
        <w:jc w:val="left"/>
      </w:pPr>
      <w:r>
        <w:rPr/>
        <w:t>详见附件：产品技术参数响应表</w:t>
      </w:r>
    </w:p>
    <w:p>
      <w:pPr>
        <w:pStyle w:val="null3"/>
        <w:ind w:firstLine="960"/>
        <w:jc w:val="left"/>
      </w:pPr>
      <w:r>
        <w:rPr/>
        <w:t>详见附件：商务应答表</w:t>
      </w:r>
    </w:p>
    <w:p>
      <w:pPr>
        <w:pStyle w:val="null3"/>
        <w:ind w:firstLine="960"/>
        <w:jc w:val="left"/>
      </w:pPr>
      <w:r>
        <w:rPr/>
        <w:t>详见附件：报价一览表</w:t>
      </w:r>
    </w:p>
    <w:p>
      <w:pPr>
        <w:pStyle w:val="null3"/>
        <w:ind w:firstLine="960"/>
        <w:jc w:val="left"/>
      </w:pPr>
      <w:r>
        <w:rPr/>
        <w:t>详见附件：承诺函</w:t>
      </w:r>
    </w:p>
    <w:p>
      <w:pPr>
        <w:pStyle w:val="null3"/>
        <w:ind w:firstLine="960"/>
        <w:jc w:val="left"/>
      </w:pPr>
      <w:r>
        <w:rPr/>
        <w:t>详见附件：服务方案</w:t>
      </w:r>
    </w:p>
    <w:p>
      <w:pPr>
        <w:pStyle w:val="null3"/>
        <w:ind w:firstLine="960"/>
        <w:jc w:val="left"/>
      </w:pPr>
      <w:r>
        <w:rPr/>
        <w:t>详见附件：供应商类似项目业绩一览表</w:t>
      </w:r>
    </w:p>
    <w:p>
      <w:pPr>
        <w:pStyle w:val="null3"/>
        <w:ind w:firstLine="960"/>
        <w:jc w:val="left"/>
      </w:pPr>
      <w:r>
        <w:rPr/>
        <w:t>详见附件：供应商认为需要提供的其他材料</w:t>
      </w:r>
    </w:p>
    <w:p>
      <w:pPr>
        <w:pStyle w:val="null3"/>
        <w:ind w:firstLine="960"/>
        <w:jc w:val="left"/>
      </w:pPr>
      <w:r>
        <w:rPr/>
        <w:t>详见附件：关于资格的承诺函</w:t>
      </w:r>
    </w:p>
    <w:p>
      <w:pPr>
        <w:pStyle w:val="null3"/>
        <w:ind w:firstLine="960"/>
        <w:jc w:val="left"/>
      </w:pPr>
      <w:r>
        <w:rPr/>
        <w:t>详见附件：报价明细表1</w:t>
      </w:r>
    </w:p>
    <w:p>
      <w:pPr>
        <w:pStyle w:val="null3"/>
        <w:ind w:firstLine="960"/>
        <w:jc w:val="left"/>
      </w:pPr>
      <w:r>
        <w:rPr/>
        <w:t>详见附件：报价明细表</w:t>
      </w:r>
    </w:p>
    <w:p>
      <w:pPr>
        <w:pStyle w:val="null3"/>
      </w:pPr>
      <w:r>
        <w:rPr/>
        <w:t xml:space="preserve"> </w:t>
        <w:br/>
        <w:br w:type="page"/>
      </w:r>
    </w:p>
    <w:p>
      <w:pPr>
        <w:pStyle w:val="null3"/>
        <w:jc w:val="center"/>
        <w:outlineLvl w:val="1"/>
      </w:pPr>
      <w:r>
        <w:rPr>
          <w:b/>
          <w:sz w:val="36"/>
        </w:rPr>
        <w:t>第七章 拟签订合同文本</w:t>
      </w:r>
    </w:p>
    <w:p>
      <w:pPr>
        <w:pStyle w:val="null3"/>
        <w:jc w:val="left"/>
      </w:pPr>
      <w:r>
        <w:rPr/>
        <w:t>详见附件：合同条款.docx</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