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87"/>
        </w:tabs>
        <w:rPr>
          <w:rFonts w:hint="eastAsia" w:ascii="宋体" w:hAnsi="宋体" w:eastAsia="宋体" w:cs="宋体"/>
          <w:b/>
          <w:spacing w:val="60"/>
          <w:sz w:val="84"/>
          <w:szCs w:val="84"/>
        </w:rPr>
      </w:pPr>
      <w:r>
        <w:rPr>
          <w:rFonts w:hint="eastAsia" w:ascii="宋体" w:hAnsi="宋体" w:eastAsia="宋体" w:cs="宋体"/>
          <w:b/>
          <w:spacing w:val="60"/>
          <w:sz w:val="84"/>
          <w:szCs w:val="84"/>
        </w:rPr>
        <w:tab/>
      </w:r>
    </w:p>
    <w:p>
      <w:pPr>
        <w:tabs>
          <w:tab w:val="left" w:pos="1187"/>
        </w:tabs>
        <w:jc w:val="center"/>
        <w:rPr>
          <w:rFonts w:hint="eastAsia" w:ascii="宋体" w:hAnsi="宋体" w:eastAsia="宋体" w:cs="宋体"/>
          <w:b/>
          <w:bCs/>
          <w:spacing w:val="60"/>
          <w:sz w:val="180"/>
          <w:szCs w:val="180"/>
        </w:rPr>
      </w:pPr>
      <w:r>
        <w:rPr>
          <w:rFonts w:hint="eastAsia" w:ascii="宋体" w:hAnsi="宋体" w:eastAsia="宋体" w:cs="宋体"/>
          <w:b/>
          <w:bCs/>
          <w:sz w:val="48"/>
          <w:szCs w:val="48"/>
        </w:rPr>
        <w:t>临汾市应急管理信息化综合应用平台</w:t>
      </w:r>
    </w:p>
    <w:p>
      <w:pPr>
        <w:spacing w:line="480" w:lineRule="exact"/>
        <w:ind w:firstLine="1280" w:firstLineChars="400"/>
        <w:rPr>
          <w:rFonts w:hint="eastAsia" w:ascii="宋体" w:hAnsi="宋体" w:eastAsia="宋体" w:cs="宋体"/>
          <w:sz w:val="32"/>
          <w:szCs w:val="32"/>
          <w:lang w:eastAsia="zh-CN"/>
        </w:rPr>
      </w:pPr>
    </w:p>
    <w:p>
      <w:pPr>
        <w:spacing w:line="480" w:lineRule="exact"/>
        <w:rPr>
          <w:rFonts w:hint="eastAsia" w:ascii="宋体" w:hAnsi="宋体" w:eastAsia="宋体" w:cs="宋体"/>
          <w:sz w:val="32"/>
          <w:szCs w:val="32"/>
          <w:lang w:eastAsia="zh-CN"/>
        </w:rPr>
      </w:pPr>
    </w:p>
    <w:p>
      <w:pPr>
        <w:spacing w:line="480" w:lineRule="exact"/>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项目编号</w:t>
      </w:r>
      <w:r>
        <w:rPr>
          <w:rFonts w:hint="eastAsia" w:ascii="宋体" w:hAnsi="宋体" w:cs="宋体"/>
          <w:b/>
          <w:bCs/>
          <w:color w:val="auto"/>
          <w:sz w:val="32"/>
          <w:szCs w:val="32"/>
          <w:lang w:eastAsia="zh-CN"/>
        </w:rPr>
        <w:t>：1410992024CCS00019</w:t>
      </w:r>
    </w:p>
    <w:p>
      <w:pPr>
        <w:pStyle w:val="23"/>
        <w:rPr>
          <w:rFonts w:hint="eastAsia" w:ascii="宋体" w:hAnsi="宋体" w:eastAsia="宋体" w:cs="宋体"/>
          <w:b/>
          <w:spacing w:val="60"/>
          <w:sz w:val="84"/>
          <w:szCs w:val="84"/>
        </w:rPr>
      </w:pPr>
      <w:bookmarkStart w:id="106" w:name="_GoBack"/>
      <w:bookmarkEnd w:id="106"/>
    </w:p>
    <w:p>
      <w:pPr>
        <w:rPr>
          <w:rFonts w:hint="eastAsia" w:ascii="宋体" w:hAnsi="宋体" w:eastAsia="宋体" w:cs="宋体"/>
          <w:b/>
          <w:spacing w:val="60"/>
          <w:sz w:val="84"/>
          <w:szCs w:val="84"/>
        </w:rPr>
      </w:pPr>
    </w:p>
    <w:p>
      <w:pPr>
        <w:rPr>
          <w:rFonts w:hint="eastAsia" w:ascii="宋体" w:hAnsi="宋体" w:eastAsia="宋体" w:cs="宋体"/>
          <w:b/>
          <w:spacing w:val="60"/>
          <w:sz w:val="84"/>
          <w:szCs w:val="84"/>
        </w:rPr>
      </w:pPr>
    </w:p>
    <w:p>
      <w:pPr>
        <w:ind w:left="0" w:leftChars="0" w:firstLine="0" w:firstLineChars="0"/>
        <w:jc w:val="center"/>
        <w:rPr>
          <w:rFonts w:hint="eastAsia" w:ascii="宋体" w:hAnsi="宋体" w:eastAsia="宋体" w:cs="宋体"/>
          <w:b/>
          <w:spacing w:val="20"/>
          <w:sz w:val="28"/>
          <w:szCs w:val="28"/>
          <w:lang w:val="en-US" w:eastAsia="zh-CN"/>
        </w:rPr>
      </w:pPr>
      <w:r>
        <w:rPr>
          <w:rFonts w:hint="eastAsia" w:ascii="宋体" w:hAnsi="宋体" w:eastAsia="宋体" w:cs="宋体"/>
          <w:b/>
          <w:color w:val="auto"/>
          <w:spacing w:val="60"/>
          <w:sz w:val="72"/>
          <w:szCs w:val="72"/>
          <w:lang w:val="en-US" w:eastAsia="zh-CN"/>
        </w:rPr>
        <w:t>竞争性磋商文件</w:t>
      </w:r>
    </w:p>
    <w:p>
      <w:pPr>
        <w:tabs>
          <w:tab w:val="left" w:pos="3720"/>
        </w:tabs>
        <w:ind w:firstLine="542" w:firstLineChars="150"/>
        <w:rPr>
          <w:rFonts w:hint="eastAsia" w:ascii="宋体" w:hAnsi="宋体" w:eastAsia="宋体" w:cs="宋体"/>
          <w:b/>
          <w:spacing w:val="20"/>
          <w:sz w:val="32"/>
          <w:szCs w:val="32"/>
        </w:rPr>
      </w:pPr>
      <w:r>
        <w:rPr>
          <w:rFonts w:hint="eastAsia" w:ascii="宋体" w:hAnsi="宋体" w:eastAsia="宋体" w:cs="宋体"/>
          <w:b/>
          <w:spacing w:val="20"/>
          <w:sz w:val="32"/>
          <w:szCs w:val="32"/>
        </w:rPr>
        <w:tab/>
      </w:r>
    </w:p>
    <w:p>
      <w:pPr>
        <w:spacing w:line="480" w:lineRule="exact"/>
        <w:ind w:firstLine="1050" w:firstLineChars="350"/>
        <w:rPr>
          <w:rFonts w:hint="eastAsia" w:ascii="宋体" w:hAnsi="宋体" w:eastAsia="宋体" w:cs="宋体"/>
          <w:sz w:val="30"/>
          <w:szCs w:val="30"/>
        </w:rPr>
      </w:pPr>
    </w:p>
    <w:p>
      <w:pPr>
        <w:spacing w:line="480" w:lineRule="exact"/>
        <w:ind w:firstLine="1050" w:firstLineChars="350"/>
        <w:rPr>
          <w:rFonts w:hint="eastAsia" w:ascii="宋体" w:hAnsi="宋体" w:eastAsia="宋体" w:cs="宋体"/>
          <w:sz w:val="30"/>
          <w:szCs w:val="30"/>
        </w:rPr>
      </w:pPr>
    </w:p>
    <w:p>
      <w:pPr>
        <w:ind w:firstLine="542" w:firstLineChars="150"/>
        <w:rPr>
          <w:rFonts w:hint="eastAsia" w:ascii="宋体" w:hAnsi="宋体" w:eastAsia="宋体" w:cs="宋体"/>
          <w:b/>
          <w:spacing w:val="20"/>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snapToGrid w:val="0"/>
        <w:jc w:val="center"/>
        <w:rPr>
          <w:rFonts w:hint="eastAsia" w:ascii="宋体" w:hAnsi="宋体" w:eastAsia="宋体" w:cs="宋体"/>
          <w:b/>
          <w:kern w:val="2"/>
          <w:sz w:val="32"/>
          <w:szCs w:val="20"/>
          <w:lang w:val="en-US" w:eastAsia="zh-CN" w:bidi="ar-SA"/>
        </w:rPr>
      </w:pPr>
      <w:r>
        <w:rPr>
          <w:rFonts w:hint="eastAsia" w:ascii="宋体" w:hAnsi="宋体" w:eastAsia="宋体" w:cs="宋体"/>
          <w:b/>
          <w:kern w:val="2"/>
          <w:sz w:val="32"/>
          <w:szCs w:val="20"/>
          <w:lang w:val="en-US" w:eastAsia="zh-CN" w:bidi="ar-SA"/>
        </w:rPr>
        <w:t>采购人：临汾市应急管理局</w:t>
      </w:r>
    </w:p>
    <w:p>
      <w:pPr>
        <w:pStyle w:val="79"/>
        <w:jc w:val="center"/>
        <w:rPr>
          <w:rFonts w:hint="eastAsia" w:ascii="宋体" w:hAnsi="宋体" w:eastAsia="宋体" w:cs="宋体"/>
          <w:b/>
          <w:sz w:val="32"/>
        </w:rPr>
      </w:pPr>
      <w:r>
        <w:rPr>
          <w:rFonts w:hint="eastAsia" w:ascii="宋体" w:hAnsi="宋体" w:eastAsia="宋体" w:cs="宋体"/>
          <w:b/>
          <w:sz w:val="32"/>
        </w:rPr>
        <w:t>采购代理机构：山西兴大弘招标代理有限公司</w:t>
      </w:r>
    </w:p>
    <w:p>
      <w:pPr>
        <w:pStyle w:val="79"/>
        <w:jc w:val="center"/>
        <w:rPr>
          <w:rFonts w:hint="eastAsia" w:ascii="宋体" w:hAnsi="宋体" w:eastAsia="宋体" w:cs="宋体"/>
          <w:b/>
          <w:sz w:val="32"/>
          <w:lang w:val="en-US" w:eastAsia="zh-CN"/>
        </w:rPr>
      </w:pPr>
      <w:r>
        <w:rPr>
          <w:rFonts w:hint="eastAsia" w:ascii="宋体" w:hAnsi="宋体" w:eastAsia="宋体" w:cs="宋体"/>
          <w:b/>
          <w:sz w:val="32"/>
          <w:lang w:val="en-US" w:eastAsia="zh-CN"/>
        </w:rPr>
        <w:t>202</w:t>
      </w:r>
      <w:r>
        <w:rPr>
          <w:rFonts w:hint="eastAsia" w:eastAsia="宋体" w:cs="宋体"/>
          <w:b/>
          <w:sz w:val="32"/>
          <w:lang w:val="en-US" w:eastAsia="zh-CN"/>
        </w:rPr>
        <w:t>4</w:t>
      </w:r>
      <w:r>
        <w:rPr>
          <w:rFonts w:hint="eastAsia" w:ascii="宋体" w:hAnsi="宋体" w:eastAsia="宋体" w:cs="宋体"/>
          <w:b/>
          <w:sz w:val="32"/>
          <w:lang w:val="en-US" w:eastAsia="zh-CN"/>
        </w:rPr>
        <w:t>年</w:t>
      </w:r>
      <w:r>
        <w:rPr>
          <w:rFonts w:hint="eastAsia" w:eastAsia="宋体" w:cs="宋体"/>
          <w:b/>
          <w:sz w:val="32"/>
          <w:lang w:val="en-US" w:eastAsia="zh-CN"/>
        </w:rPr>
        <w:t>01</w:t>
      </w:r>
      <w:r>
        <w:rPr>
          <w:rFonts w:hint="eastAsia" w:ascii="宋体" w:hAnsi="宋体" w:eastAsia="宋体" w:cs="宋体"/>
          <w:b/>
          <w:sz w:val="32"/>
          <w:lang w:val="en-US" w:eastAsia="zh-CN"/>
        </w:rPr>
        <w:t>月</w:t>
      </w:r>
    </w:p>
    <w:p>
      <w:pPr>
        <w:snapToGrid w:val="0"/>
        <w:rPr>
          <w:rFonts w:hint="eastAsia" w:ascii="宋体" w:hAnsi="宋体" w:eastAsia="宋体" w:cs="宋体"/>
          <w:sz w:val="32"/>
          <w:szCs w:val="32"/>
        </w:rPr>
      </w:pPr>
    </w:p>
    <w:p>
      <w:pPr>
        <w:pStyle w:val="23"/>
        <w:rPr>
          <w:rFonts w:hint="eastAsia" w:ascii="宋体" w:hAnsi="宋体" w:eastAsia="宋体" w:cs="宋体"/>
          <w:color w:val="auto"/>
        </w:rPr>
        <w:sectPr>
          <w:headerReference r:id="rId4" w:type="first"/>
          <w:footerReference r:id="rId5" w:type="first"/>
          <w:headerReference r:id="rId3" w:type="default"/>
          <w:pgSz w:w="11906" w:h="16838"/>
          <w:pgMar w:top="1440" w:right="1080" w:bottom="1440" w:left="1080" w:header="794" w:footer="992" w:gutter="0"/>
          <w:pgNumType w:start="1"/>
          <w:cols w:space="425" w:num="1"/>
          <w:docGrid w:type="lines" w:linePitch="312" w:charSpace="0"/>
        </w:sectPr>
      </w:pPr>
    </w:p>
    <w:p>
      <w:pPr>
        <w:jc w:val="center"/>
        <w:rPr>
          <w:rFonts w:hint="eastAsia" w:ascii="宋体" w:hAnsi="宋体" w:eastAsia="宋体" w:cs="宋体"/>
          <w:b/>
          <w:bCs/>
          <w:sz w:val="40"/>
          <w:szCs w:val="40"/>
          <w:lang w:val="zh-CN"/>
        </w:rPr>
      </w:pPr>
      <w:r>
        <w:rPr>
          <w:rFonts w:hint="eastAsia" w:ascii="宋体" w:hAnsi="宋体" w:eastAsia="宋体" w:cs="宋体"/>
          <w:b/>
          <w:bCs/>
          <w:sz w:val="40"/>
          <w:szCs w:val="40"/>
          <w:lang w:val="zh-CN"/>
        </w:rPr>
        <w:t>目</w:t>
      </w:r>
      <w:r>
        <w:rPr>
          <w:rFonts w:hint="eastAsia" w:ascii="宋体" w:hAnsi="宋体" w:eastAsia="宋体" w:cs="宋体"/>
          <w:b/>
          <w:bCs/>
          <w:sz w:val="40"/>
          <w:szCs w:val="40"/>
        </w:rPr>
        <w:t xml:space="preserve"> </w:t>
      </w:r>
      <w:r>
        <w:rPr>
          <w:rFonts w:hint="eastAsia" w:ascii="宋体" w:hAnsi="宋体" w:cs="宋体"/>
          <w:b/>
          <w:bCs/>
          <w:sz w:val="40"/>
          <w:szCs w:val="40"/>
          <w:lang w:val="en-US" w:eastAsia="zh-CN"/>
        </w:rPr>
        <w:t xml:space="preserve"> </w:t>
      </w:r>
      <w:r>
        <w:rPr>
          <w:rFonts w:hint="eastAsia" w:ascii="宋体" w:hAnsi="宋体" w:eastAsia="宋体" w:cs="宋体"/>
          <w:b/>
          <w:bCs/>
          <w:sz w:val="40"/>
          <w:szCs w:val="40"/>
          <w:lang w:val="zh-CN"/>
        </w:rPr>
        <w:t>录</w:t>
      </w:r>
    </w:p>
    <w:p>
      <w:pPr>
        <w:pStyle w:val="23"/>
        <w:rPr>
          <w:rFonts w:hint="eastAsia" w:ascii="宋体" w:hAnsi="宋体" w:eastAsia="宋体" w:cs="宋体"/>
        </w:rPr>
      </w:pPr>
    </w:p>
    <w:p>
      <w:pPr>
        <w:pStyle w:val="25"/>
        <w:tabs>
          <w:tab w:val="right" w:pos="9014"/>
        </w:tabs>
        <w:spacing w:line="360" w:lineRule="auto"/>
        <w:jc w:val="distribute"/>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\n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"_Toc23105"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w:t>
      </w:r>
      <w:r>
        <w:rPr>
          <w:rFonts w:hint="eastAsia" w:ascii="宋体" w:hAnsi="宋体" w:eastAsia="宋体" w:cs="宋体"/>
          <w:b/>
          <w:bCs/>
          <w:sz w:val="28"/>
          <w:szCs w:val="28"/>
        </w:rPr>
        <w:fldChar w:fldCharType="end"/>
      </w:r>
      <w:r>
        <w:rPr>
          <w:rFonts w:hint="eastAsia" w:ascii="宋体" w:hAnsi="宋体" w:cs="宋体"/>
          <w:b/>
          <w:bCs/>
          <w:sz w:val="28"/>
          <w:szCs w:val="28"/>
          <w:lang w:val="en-US" w:eastAsia="zh-CN"/>
        </w:rPr>
        <w:t>公告</w:t>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2</w:t>
      </w:r>
    </w:p>
    <w:p>
      <w:pPr>
        <w:pStyle w:val="25"/>
        <w:tabs>
          <w:tab w:val="right" w:pos="9014"/>
        </w:tabs>
        <w:spacing w:line="360" w:lineRule="auto"/>
        <w:jc w:val="distribute"/>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"_Toc22574"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磋商供应商须知前附表</w:t>
      </w:r>
      <w:r>
        <w:rPr>
          <w:rFonts w:hint="eastAsia" w:ascii="宋体" w:hAnsi="宋体" w:eastAsia="宋体" w:cs="宋体"/>
          <w:b/>
          <w:bCs/>
          <w:sz w:val="28"/>
          <w:szCs w:val="28"/>
        </w:rPr>
        <w:fldChar w:fldCharType="end"/>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4</w:t>
      </w:r>
    </w:p>
    <w:p>
      <w:pPr>
        <w:pStyle w:val="25"/>
        <w:tabs>
          <w:tab w:val="right" w:pos="9014"/>
        </w:tabs>
        <w:spacing w:line="360" w:lineRule="auto"/>
        <w:jc w:val="distribute"/>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"_Toc25272"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磋商供应商须知</w:t>
      </w:r>
      <w:r>
        <w:rPr>
          <w:rFonts w:hint="eastAsia" w:ascii="宋体" w:hAnsi="宋体" w:eastAsia="宋体" w:cs="宋体"/>
          <w:b/>
          <w:bCs/>
          <w:sz w:val="28"/>
          <w:szCs w:val="28"/>
        </w:rPr>
        <w:fldChar w:fldCharType="end"/>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8</w:t>
      </w:r>
    </w:p>
    <w:p>
      <w:pPr>
        <w:pStyle w:val="25"/>
        <w:tabs>
          <w:tab w:val="right" w:pos="9014"/>
        </w:tabs>
        <w:spacing w:line="360" w:lineRule="auto"/>
        <w:jc w:val="distribute"/>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"_Toc32561"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采购需求</w:t>
      </w:r>
      <w:r>
        <w:rPr>
          <w:rFonts w:hint="eastAsia" w:ascii="宋体" w:hAnsi="宋体" w:eastAsia="宋体" w:cs="宋体"/>
          <w:b/>
          <w:bCs/>
          <w:sz w:val="28"/>
          <w:szCs w:val="28"/>
        </w:rPr>
        <w:fldChar w:fldCharType="end"/>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21</w:t>
      </w:r>
    </w:p>
    <w:p>
      <w:pPr>
        <w:pStyle w:val="25"/>
        <w:tabs>
          <w:tab w:val="right" w:pos="9014"/>
        </w:tabs>
        <w:spacing w:line="360" w:lineRule="auto"/>
        <w:jc w:val="distribute"/>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"_Toc5726"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第五部分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资格审查内容及标准</w:t>
      </w:r>
      <w:r>
        <w:rPr>
          <w:rFonts w:hint="eastAsia" w:ascii="宋体" w:hAnsi="宋体" w:eastAsia="宋体" w:cs="宋体"/>
          <w:b/>
          <w:bCs/>
          <w:sz w:val="28"/>
          <w:szCs w:val="28"/>
        </w:rPr>
        <w:fldChar w:fldCharType="end"/>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32</w:t>
      </w:r>
    </w:p>
    <w:p>
      <w:pPr>
        <w:pStyle w:val="25"/>
        <w:tabs>
          <w:tab w:val="right" w:pos="9014"/>
        </w:tabs>
        <w:spacing w:line="360" w:lineRule="auto"/>
        <w:jc w:val="distribute"/>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"_Toc10477"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评定和成交标准</w:t>
      </w:r>
      <w:r>
        <w:rPr>
          <w:rFonts w:hint="eastAsia" w:ascii="宋体" w:hAnsi="宋体" w:eastAsia="宋体" w:cs="宋体"/>
          <w:b/>
          <w:bCs/>
          <w:sz w:val="28"/>
          <w:szCs w:val="28"/>
        </w:rPr>
        <w:fldChar w:fldCharType="end"/>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34</w:t>
      </w:r>
    </w:p>
    <w:p>
      <w:pPr>
        <w:pStyle w:val="25"/>
        <w:tabs>
          <w:tab w:val="right" w:pos="9014"/>
        </w:tabs>
        <w:spacing w:line="360" w:lineRule="auto"/>
        <w:jc w:val="distribute"/>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"_Toc28657"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第七部分  合同草案（可修改）</w:t>
      </w:r>
      <w:r>
        <w:rPr>
          <w:rFonts w:hint="eastAsia" w:ascii="宋体" w:hAnsi="宋体" w:eastAsia="宋体" w:cs="宋体"/>
          <w:b/>
          <w:bCs/>
          <w:sz w:val="28"/>
          <w:szCs w:val="28"/>
        </w:rPr>
        <w:fldChar w:fldCharType="end"/>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42</w:t>
      </w:r>
    </w:p>
    <w:p>
      <w:pPr>
        <w:pStyle w:val="25"/>
        <w:tabs>
          <w:tab w:val="right" w:pos="9014"/>
        </w:tabs>
        <w:spacing w:line="360" w:lineRule="auto"/>
        <w:jc w:val="distribute"/>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"_Toc18945"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第八部分  响应文件内容要求及格式</w:t>
      </w:r>
      <w:r>
        <w:rPr>
          <w:rFonts w:hint="eastAsia" w:ascii="宋体" w:hAnsi="宋体" w:eastAsia="宋体" w:cs="宋体"/>
          <w:b/>
          <w:bCs/>
          <w:sz w:val="28"/>
          <w:szCs w:val="28"/>
        </w:rPr>
        <w:fldChar w:fldCharType="end"/>
      </w:r>
      <w:r>
        <w:rPr>
          <w:rFonts w:hint="eastAsia" w:ascii="宋体" w:hAnsi="宋体" w:eastAsia="宋体" w:cs="宋体"/>
          <w:b/>
          <w:bCs/>
          <w:sz w:val="28"/>
          <w:szCs w:val="28"/>
          <w:lang w:eastAsia="zh-CN"/>
        </w:rPr>
        <w:t>………………………………………</w:t>
      </w:r>
      <w:r>
        <w:rPr>
          <w:rFonts w:hint="eastAsia" w:ascii="宋体" w:hAnsi="宋体" w:cs="宋体"/>
          <w:b/>
          <w:bCs/>
          <w:sz w:val="28"/>
          <w:szCs w:val="28"/>
          <w:lang w:val="en-US" w:eastAsia="zh-CN"/>
        </w:rPr>
        <w:t>43</w:t>
      </w:r>
    </w:p>
    <w:p>
      <w:pPr>
        <w:spacing w:line="360" w:lineRule="auto"/>
        <w:jc w:val="distribute"/>
        <w:rPr>
          <w:rFonts w:hint="eastAsia" w:ascii="宋体" w:hAnsi="宋体" w:eastAsia="宋体" w:cs="宋体"/>
          <w:sz w:val="24"/>
          <w:szCs w:val="24"/>
        </w:rPr>
      </w:pPr>
      <w:r>
        <w:rPr>
          <w:rFonts w:hint="eastAsia" w:ascii="宋体" w:hAnsi="宋体" w:eastAsia="宋体" w:cs="宋体"/>
          <w:b/>
          <w:bCs/>
          <w:sz w:val="28"/>
          <w:szCs w:val="28"/>
        </w:rPr>
        <w:fldChar w:fldCharType="end"/>
      </w:r>
    </w:p>
    <w:p>
      <w:pPr>
        <w:widowControl/>
        <w:jc w:val="left"/>
        <w:rPr>
          <w:rFonts w:hint="eastAsia" w:ascii="宋体" w:hAnsi="宋体" w:eastAsia="宋体" w:cs="宋体"/>
        </w:rPr>
      </w:pPr>
      <w:r>
        <w:rPr>
          <w:rFonts w:hint="eastAsia" w:ascii="宋体" w:hAnsi="宋体" w:eastAsia="宋体" w:cs="宋体"/>
        </w:rPr>
        <w:br w:type="page"/>
      </w:r>
    </w:p>
    <w:p>
      <w:pPr>
        <w:pStyle w:val="5"/>
        <w:numPr>
          <w:ilvl w:val="0"/>
          <w:numId w:val="2"/>
        </w:numPr>
        <w:rPr>
          <w:rFonts w:hint="eastAsia" w:ascii="宋体" w:hAnsi="宋体" w:eastAsia="宋体" w:cs="宋体"/>
          <w:color w:val="auto"/>
        </w:rPr>
      </w:pPr>
      <w:bookmarkStart w:id="0" w:name="_Toc23105"/>
      <w:r>
        <w:rPr>
          <w:rFonts w:hint="eastAsia" w:ascii="宋体" w:hAnsi="宋体" w:eastAsia="宋体" w:cs="宋体"/>
        </w:rPr>
        <w:t xml:space="preserve"> </w:t>
      </w:r>
      <w:bookmarkEnd w:id="0"/>
      <w:r>
        <w:rPr>
          <w:rFonts w:hint="eastAsia" w:ascii="宋体" w:hAnsi="宋体" w:eastAsia="宋体" w:cs="宋体"/>
        </w:rPr>
        <w:t>竞争性磋商</w:t>
      </w:r>
      <w:r>
        <w:rPr>
          <w:rFonts w:hint="eastAsia" w:ascii="宋体" w:hAnsi="宋体" w:eastAsia="宋体" w:cs="宋体"/>
          <w:lang w:val="en-US" w:eastAsia="zh-CN"/>
        </w:rPr>
        <w:t>公告</w:t>
      </w:r>
    </w:p>
    <w:p>
      <w:pPr>
        <w:pBdr>
          <w:top w:val="single" w:color="auto" w:sz="4" w:space="1"/>
          <w:left w:val="single" w:color="auto" w:sz="4" w:space="4"/>
          <w:bottom w:val="single" w:color="auto" w:sz="4" w:space="1"/>
          <w:right w:val="single" w:color="auto" w:sz="4" w:space="4"/>
        </w:pBdr>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临汾市应急管理信息化综合应用平台的潜在供应商应在山西省政府采购网线上获取采购文件，并</w:t>
      </w:r>
      <w:r>
        <w:rPr>
          <w:rFonts w:hint="eastAsia" w:ascii="宋体" w:hAnsi="宋体" w:eastAsia="宋体" w:cs="宋体"/>
          <w:color w:val="000000" w:themeColor="text1"/>
          <w:sz w:val="24"/>
          <w:szCs w:val="24"/>
          <w14:textFill>
            <w14:solidFill>
              <w14:schemeClr w14:val="tx1"/>
            </w14:solidFill>
          </w14:textFill>
        </w:rPr>
        <w:t>于202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02</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cs="宋体"/>
          <w:bCs/>
          <w:color w:val="000000" w:themeColor="text1"/>
          <w:sz w:val="24"/>
          <w:szCs w:val="24"/>
          <w:lang w:val="en-US" w:eastAsia="zh-CN"/>
          <w14:textFill>
            <w14:solidFill>
              <w14:schemeClr w14:val="tx1"/>
            </w14:solidFill>
          </w14:textFill>
        </w:rPr>
        <w:t>19</w:t>
      </w:r>
      <w:r>
        <w:rPr>
          <w:rFonts w:hint="eastAsia" w:ascii="宋体" w:hAnsi="宋体" w:eastAsia="宋体" w:cs="宋体"/>
          <w:bCs/>
          <w:color w:val="000000" w:themeColor="text1"/>
          <w:sz w:val="24"/>
          <w:szCs w:val="24"/>
          <w14:textFill>
            <w14:solidFill>
              <w14:schemeClr w14:val="tx1"/>
            </w14:solidFill>
          </w14:textFill>
        </w:rPr>
        <w:t>日</w:t>
      </w:r>
      <w:r>
        <w:rPr>
          <w:rFonts w:hint="eastAsia" w:ascii="宋体" w:hAnsi="宋体" w:cs="宋体"/>
          <w:bCs/>
          <w:color w:val="000000" w:themeColor="text1"/>
          <w:sz w:val="24"/>
          <w:szCs w:val="24"/>
          <w:lang w:val="en-US" w:eastAsia="zh-CN"/>
          <w14:textFill>
            <w14:solidFill>
              <w14:schemeClr w14:val="tx1"/>
            </w14:solidFill>
          </w14:textFill>
        </w:rPr>
        <w:t>15</w:t>
      </w:r>
      <w:r>
        <w:rPr>
          <w:rFonts w:hint="eastAsia" w:ascii="宋体" w:hAnsi="宋体" w:eastAsia="宋体" w:cs="宋体"/>
          <w:bCs/>
          <w:color w:val="000000" w:themeColor="text1"/>
          <w:sz w:val="24"/>
          <w:szCs w:val="24"/>
          <w14:textFill>
            <w14:solidFill>
              <w14:schemeClr w14:val="tx1"/>
            </w14:solidFill>
          </w14:textFill>
        </w:rPr>
        <w:t>点</w:t>
      </w:r>
      <w:r>
        <w:rPr>
          <w:rFonts w:hint="eastAsia" w:ascii="宋体" w:hAnsi="宋体" w:eastAsia="宋体" w:cs="宋体"/>
          <w:bCs/>
          <w:color w:val="000000" w:themeColor="text1"/>
          <w:sz w:val="24"/>
          <w:szCs w:val="24"/>
          <w:lang w:val="en-US" w:eastAsia="zh-CN"/>
          <w14:textFill>
            <w14:solidFill>
              <w14:schemeClr w14:val="tx1"/>
            </w14:solidFill>
          </w14:textFill>
        </w:rPr>
        <w:t>00</w:t>
      </w:r>
      <w:r>
        <w:rPr>
          <w:rFonts w:hint="eastAsia" w:ascii="宋体" w:hAnsi="宋体" w:eastAsia="宋体" w:cs="宋体"/>
          <w:bCs/>
          <w:color w:val="000000" w:themeColor="text1"/>
          <w:sz w:val="24"/>
          <w:szCs w:val="24"/>
          <w14:textFill>
            <w14:solidFill>
              <w14:schemeClr w14:val="tx1"/>
            </w14:solidFill>
          </w14:textFill>
        </w:rPr>
        <w:t>分（北京时间）前提交响应文件</w:t>
      </w:r>
      <w:r>
        <w:rPr>
          <w:rFonts w:hint="eastAsia" w:ascii="宋体" w:hAnsi="宋体" w:eastAsia="宋体" w:cs="宋体"/>
          <w:color w:val="000000" w:themeColor="text1"/>
          <w:sz w:val="24"/>
          <w:szCs w:val="24"/>
          <w14:textFill>
            <w14:solidFill>
              <w14:schemeClr w14:val="tx1"/>
            </w14:solidFill>
          </w14:textFill>
        </w:rPr>
        <w:t>。</w:t>
      </w:r>
    </w:p>
    <w:p>
      <w:pPr>
        <w:pStyle w:val="6"/>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000000" w:themeColor="text1"/>
          <w:szCs w:val="24"/>
          <w14:textFill>
            <w14:solidFill>
              <w14:schemeClr w14:val="tx1"/>
            </w14:solidFill>
          </w14:textFill>
        </w:rPr>
      </w:pPr>
      <w:bookmarkStart w:id="1" w:name="_Toc35393629"/>
      <w:bookmarkStart w:id="2" w:name="_Toc28359089"/>
      <w:bookmarkStart w:id="3" w:name="_Toc28359012"/>
      <w:bookmarkStart w:id="4" w:name="_Toc35393798"/>
      <w:r>
        <w:rPr>
          <w:rFonts w:hint="eastAsia" w:ascii="宋体" w:hAnsi="宋体" w:eastAsia="宋体" w:cs="宋体"/>
          <w:b/>
          <w:bCs w:val="0"/>
          <w:color w:val="000000" w:themeColor="text1"/>
          <w:szCs w:val="24"/>
          <w14:textFill>
            <w14:solidFill>
              <w14:schemeClr w14:val="tx1"/>
            </w14:solidFill>
          </w14:textFill>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项目编号：1410992024CCS00019</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项目名称：临汾市应急管理信息化综合应用平台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采购方式：竞争性磋商</w:t>
      </w:r>
    </w:p>
    <w:p>
      <w:pPr>
        <w:pageBreakBefore w:val="0"/>
        <w:widowControl w:val="0"/>
        <w:tabs>
          <w:tab w:val="left" w:pos="474"/>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w:t>
      </w:r>
      <w:r>
        <w:rPr>
          <w:rFonts w:hint="eastAsia" w:ascii="宋体" w:hAnsi="宋体" w:eastAsia="宋体" w:cs="宋体"/>
          <w:color w:val="000000" w:themeColor="text1"/>
          <w:sz w:val="24"/>
          <w:szCs w:val="24"/>
          <w:lang w:val="en-US" w:eastAsia="zh-CN"/>
          <w14:textFill>
            <w14:solidFill>
              <w14:schemeClr w14:val="tx1"/>
            </w14:solidFill>
          </w14:textFill>
        </w:rPr>
        <w:t>199</w:t>
      </w: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eastAsia="宋体" w:cs="宋体"/>
          <w:color w:val="000000" w:themeColor="text1"/>
          <w:sz w:val="24"/>
          <w:szCs w:val="24"/>
          <w:lang w:val="en-US" w:eastAsia="zh-CN"/>
          <w14:textFill>
            <w14:solidFill>
              <w14:schemeClr w14:val="tx1"/>
            </w14:solidFill>
          </w14:textFill>
        </w:rPr>
        <w:t>41.2</w:t>
      </w:r>
      <w:r>
        <w:rPr>
          <w:rFonts w:hint="eastAsia" w:ascii="宋体" w:hAnsi="宋体" w:eastAsia="宋体" w:cs="宋体"/>
          <w:color w:val="000000" w:themeColor="text1"/>
          <w:sz w:val="24"/>
          <w:szCs w:val="24"/>
          <w14:textFill>
            <w14:solidFill>
              <w14:schemeClr w14:val="tx1"/>
            </w14:solidFill>
          </w14:textFill>
        </w:rPr>
        <w:t>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最高限价：</w:t>
      </w:r>
      <w:r>
        <w:rPr>
          <w:rFonts w:hint="eastAsia" w:ascii="宋体" w:hAnsi="宋体" w:eastAsia="宋体" w:cs="宋体"/>
          <w:color w:val="000000" w:themeColor="text1"/>
          <w:sz w:val="24"/>
          <w:szCs w:val="24"/>
          <w:lang w:val="en-US" w:eastAsia="zh-CN"/>
          <w14:textFill>
            <w14:solidFill>
              <w14:schemeClr w14:val="tx1"/>
            </w14:solidFill>
          </w14:textFill>
        </w:rPr>
        <w:t>199</w:t>
      </w:r>
      <w:r>
        <w:rPr>
          <w:rFonts w:hint="eastAsia" w:ascii="宋体" w:hAnsi="宋体" w:cs="宋体"/>
          <w:color w:val="000000" w:themeColor="text1"/>
          <w:sz w:val="24"/>
          <w:szCs w:val="24"/>
          <w:lang w:val="en-US" w:eastAsia="zh-CN"/>
          <w14:textFill>
            <w14:solidFill>
              <w14:schemeClr w14:val="tx1"/>
            </w14:solidFill>
          </w14:textFill>
        </w:rPr>
        <w:t>56</w:t>
      </w:r>
      <w:r>
        <w:rPr>
          <w:rFonts w:hint="eastAsia" w:ascii="宋体" w:hAnsi="宋体" w:eastAsia="宋体" w:cs="宋体"/>
          <w:color w:val="000000" w:themeColor="text1"/>
          <w:sz w:val="24"/>
          <w:szCs w:val="24"/>
          <w:lang w:val="en-US" w:eastAsia="zh-CN"/>
          <w14:textFill>
            <w14:solidFill>
              <w14:schemeClr w14:val="tx1"/>
            </w14:solidFill>
          </w14:textFill>
        </w:rPr>
        <w:t>41.2</w:t>
      </w:r>
      <w:r>
        <w:rPr>
          <w:rFonts w:hint="eastAsia" w:ascii="宋体" w:hAnsi="宋体" w:eastAsia="宋体" w:cs="宋体"/>
          <w:color w:val="000000" w:themeColor="text1"/>
          <w:sz w:val="24"/>
          <w:szCs w:val="24"/>
          <w14:textFill>
            <w14:solidFill>
              <w14:schemeClr w14:val="tx1"/>
            </w14:solidFill>
          </w14:textFill>
        </w:rPr>
        <w:t>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临汾市综合应急管理信息化体系，系统梳理已有和在建资源，按照“集约利旧”原则，优化方案，整体统筹推进。将充分复用现有应急管理部相关信息化系统、省应急管理厅相关信息化系统、市应急管理局相关信息化系统，对已有系统进行系统对接与集成。平台主要包括应急管理综合系统、隐患排查治理系统、信息资源服务、数据治理以及与现有相关信息化系统的对接和集成等内容</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合同履行期限：自合同生效后（180）日历天。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bookmarkStart w:id="5" w:name="_Toc35393799"/>
      <w:bookmarkStart w:id="6" w:name="_Toc35393630"/>
      <w:bookmarkStart w:id="7" w:name="_Toc28359013"/>
      <w:bookmarkStart w:id="8" w:name="_Toc28359090"/>
      <w:r>
        <w:rPr>
          <w:rFonts w:hint="eastAsia" w:ascii="宋体" w:hAnsi="宋体" w:eastAsia="宋体" w:cs="宋体"/>
          <w:b/>
          <w:bCs/>
          <w:color w:val="000000" w:themeColor="text1"/>
          <w:sz w:val="24"/>
          <w:szCs w:val="24"/>
          <w14:textFill>
            <w14:solidFill>
              <w14:schemeClr w14:val="tx1"/>
            </w14:solidFill>
          </w14:textFill>
        </w:rPr>
        <w:t>二、申请人的资格要求</w:t>
      </w:r>
      <w:bookmarkEnd w:id="5"/>
      <w:bookmarkEnd w:id="6"/>
      <w:bookmarkEnd w:id="7"/>
      <w:bookmarkEnd w:id="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供应商为中小企业</w:t>
      </w:r>
      <w:r>
        <w:rPr>
          <w:rFonts w:hint="eastAsia" w:ascii="宋体" w:hAnsi="宋体" w:eastAsia="宋体" w:cs="宋体"/>
          <w:color w:val="000000" w:themeColor="text1"/>
          <w:sz w:val="24"/>
          <w:szCs w:val="24"/>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3其他特定资格条件：</w:t>
      </w:r>
      <w:r>
        <w:rPr>
          <w:rFonts w:hint="eastAsia" w:ascii="宋体" w:hAnsi="宋体" w:eastAsia="宋体" w:cs="宋体"/>
          <w:color w:val="000000" w:themeColor="text1"/>
          <w:sz w:val="24"/>
          <w:szCs w:val="24"/>
          <w:lang w:val="en-US" w:eastAsia="zh-CN"/>
          <w14:textFill>
            <w14:solidFill>
              <w14:schemeClr w14:val="tx1"/>
            </w14:solidFill>
          </w14:textFill>
        </w:rPr>
        <w:t>无；</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三、获取采购文件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 w:name="_Toc28359015"/>
      <w:bookmarkStart w:id="10" w:name="_Toc28359092"/>
      <w:bookmarkStart w:id="11" w:name="_Toc35393632"/>
      <w:bookmarkStart w:id="12" w:name="_Toc35393801"/>
      <w:r>
        <w:rPr>
          <w:rFonts w:hint="eastAsia" w:ascii="宋体" w:hAnsi="宋体" w:eastAsia="宋体" w:cs="宋体"/>
          <w:color w:val="000000" w:themeColor="text1"/>
          <w:sz w:val="24"/>
          <w:szCs w:val="24"/>
          <w14:textFill>
            <w14:solidFill>
              <w14:schemeClr w14:val="tx1"/>
            </w14:solidFill>
          </w14:textFill>
        </w:rPr>
        <w:t>时间：202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01</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日至202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02</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日，每天上午00：00至12：00，下午12：00至23：59（北京时间，法定节假日除外）；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地点：山西政府采购平台线上获取采购文件；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方式：只允许在线获取；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售价：0元。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四、响应文件提交</w:t>
      </w:r>
      <w:bookmarkEnd w:id="9"/>
      <w:bookmarkEnd w:id="10"/>
      <w:bookmarkEnd w:id="11"/>
      <w:bookmarkEnd w:id="1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1电子响应文件递交截止时间和地点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递交截止时间：202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02</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cs="宋体"/>
          <w:bCs/>
          <w:color w:val="000000" w:themeColor="text1"/>
          <w:sz w:val="24"/>
          <w:szCs w:val="24"/>
          <w:lang w:val="en-US" w:eastAsia="zh-CN"/>
          <w14:textFill>
            <w14:solidFill>
              <w14:schemeClr w14:val="tx1"/>
            </w14:solidFill>
          </w14:textFill>
        </w:rPr>
        <w:t>19</w:t>
      </w:r>
      <w:r>
        <w:rPr>
          <w:rFonts w:hint="eastAsia" w:ascii="宋体" w:hAnsi="宋体" w:eastAsia="宋体" w:cs="宋体"/>
          <w:bCs/>
          <w:color w:val="000000" w:themeColor="text1"/>
          <w:sz w:val="24"/>
          <w:szCs w:val="24"/>
          <w14:textFill>
            <w14:solidFill>
              <w14:schemeClr w14:val="tx1"/>
            </w14:solidFill>
          </w14:textFill>
        </w:rPr>
        <w:t>日</w:t>
      </w:r>
      <w:r>
        <w:rPr>
          <w:rFonts w:hint="eastAsia" w:ascii="宋体" w:hAnsi="宋体" w:cs="宋体"/>
          <w:bCs/>
          <w:color w:val="000000" w:themeColor="text1"/>
          <w:sz w:val="24"/>
          <w:szCs w:val="24"/>
          <w:lang w:val="en-US" w:eastAsia="zh-CN"/>
          <w14:textFill>
            <w14:solidFill>
              <w14:schemeClr w14:val="tx1"/>
            </w14:solidFill>
          </w14:textFill>
        </w:rPr>
        <w:t>15</w:t>
      </w:r>
      <w:r>
        <w:rPr>
          <w:rFonts w:hint="eastAsia" w:ascii="宋体" w:hAnsi="宋体" w:eastAsia="宋体" w:cs="宋体"/>
          <w:bCs/>
          <w:color w:val="000000" w:themeColor="text1"/>
          <w:sz w:val="24"/>
          <w:szCs w:val="24"/>
          <w14:textFill>
            <w14:solidFill>
              <w14:schemeClr w14:val="tx1"/>
            </w14:solidFill>
          </w14:textFill>
        </w:rPr>
        <w:t>点</w:t>
      </w:r>
      <w:r>
        <w:rPr>
          <w:rFonts w:hint="eastAsia" w:ascii="宋体" w:hAnsi="宋体" w:eastAsia="宋体" w:cs="宋体"/>
          <w:bCs/>
          <w:color w:val="000000" w:themeColor="text1"/>
          <w:sz w:val="24"/>
          <w:szCs w:val="24"/>
          <w:lang w:val="en-US" w:eastAsia="zh-CN"/>
          <w14:textFill>
            <w14:solidFill>
              <w14:schemeClr w14:val="tx1"/>
            </w14:solidFill>
          </w14:textFill>
        </w:rPr>
        <w:t>00</w:t>
      </w:r>
      <w:r>
        <w:rPr>
          <w:rFonts w:hint="eastAsia" w:ascii="宋体" w:hAnsi="宋体" w:eastAsia="宋体" w:cs="宋体"/>
          <w:bCs/>
          <w:color w:val="000000" w:themeColor="text1"/>
          <w:sz w:val="24"/>
          <w:szCs w:val="24"/>
          <w14:textFill>
            <w14:solidFill>
              <w14:schemeClr w14:val="tx1"/>
            </w14:solidFill>
          </w14:textFill>
        </w:rPr>
        <w:t>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递交地点：政采云平台投标客户端完成递交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供应商应在截止时间前未完成上传的，视为撤回响应文件。</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五、开启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时间：202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bCs/>
          <w:color w:val="000000" w:themeColor="text1"/>
          <w:sz w:val="24"/>
          <w:szCs w:val="24"/>
          <w:lang w:val="en-US" w:eastAsia="zh-CN"/>
          <w14:textFill>
            <w14:solidFill>
              <w14:schemeClr w14:val="tx1"/>
            </w14:solidFill>
          </w14:textFill>
        </w:rPr>
        <w:t>02</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cs="宋体"/>
          <w:bCs/>
          <w:color w:val="000000" w:themeColor="text1"/>
          <w:sz w:val="24"/>
          <w:szCs w:val="24"/>
          <w:lang w:val="en-US" w:eastAsia="zh-CN"/>
          <w14:textFill>
            <w14:solidFill>
              <w14:schemeClr w14:val="tx1"/>
            </w14:solidFill>
          </w14:textFill>
        </w:rPr>
        <w:t>19</w:t>
      </w:r>
      <w:r>
        <w:rPr>
          <w:rFonts w:hint="eastAsia" w:ascii="宋体" w:hAnsi="宋体" w:eastAsia="宋体" w:cs="宋体"/>
          <w:bCs/>
          <w:color w:val="000000" w:themeColor="text1"/>
          <w:sz w:val="24"/>
          <w:szCs w:val="24"/>
          <w14:textFill>
            <w14:solidFill>
              <w14:schemeClr w14:val="tx1"/>
            </w14:solidFill>
          </w14:textFill>
        </w:rPr>
        <w:t>日</w:t>
      </w:r>
      <w:r>
        <w:rPr>
          <w:rFonts w:hint="eastAsia" w:ascii="宋体" w:hAnsi="宋体" w:cs="宋体"/>
          <w:bCs/>
          <w:color w:val="000000" w:themeColor="text1"/>
          <w:sz w:val="24"/>
          <w:szCs w:val="24"/>
          <w:lang w:val="en-US" w:eastAsia="zh-CN"/>
          <w14:textFill>
            <w14:solidFill>
              <w14:schemeClr w14:val="tx1"/>
            </w14:solidFill>
          </w14:textFill>
        </w:rPr>
        <w:t>15</w:t>
      </w:r>
      <w:r>
        <w:rPr>
          <w:rFonts w:hint="eastAsia" w:ascii="宋体" w:hAnsi="宋体" w:eastAsia="宋体" w:cs="宋体"/>
          <w:bCs/>
          <w:color w:val="000000" w:themeColor="text1"/>
          <w:sz w:val="24"/>
          <w:szCs w:val="24"/>
          <w14:textFill>
            <w14:solidFill>
              <w14:schemeClr w14:val="tx1"/>
            </w14:solidFill>
          </w14:textFill>
        </w:rPr>
        <w:t>点</w:t>
      </w:r>
      <w:r>
        <w:rPr>
          <w:rFonts w:hint="eastAsia" w:ascii="宋体" w:hAnsi="宋体" w:eastAsia="宋体" w:cs="宋体"/>
          <w:bCs/>
          <w:color w:val="000000" w:themeColor="text1"/>
          <w:sz w:val="24"/>
          <w:szCs w:val="24"/>
          <w:lang w:val="en-US" w:eastAsia="zh-CN"/>
          <w14:textFill>
            <w14:solidFill>
              <w14:schemeClr w14:val="tx1"/>
            </w14:solidFill>
          </w14:textFill>
        </w:rPr>
        <w:t>00</w:t>
      </w:r>
      <w:r>
        <w:rPr>
          <w:rFonts w:hint="eastAsia" w:ascii="宋体" w:hAnsi="宋体" w:eastAsia="宋体" w:cs="宋体"/>
          <w:bCs/>
          <w:color w:val="000000" w:themeColor="text1"/>
          <w:sz w:val="24"/>
          <w:szCs w:val="24"/>
          <w14:textFill>
            <w14:solidFill>
              <w14:schemeClr w14:val="tx1"/>
            </w14:solidFill>
          </w14:textFill>
        </w:rPr>
        <w:t>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w:t>
      </w:r>
      <w:r>
        <w:rPr>
          <w:rFonts w:hint="eastAsia" w:ascii="宋体" w:hAnsi="宋体" w:eastAsia="宋体" w:cs="宋体"/>
          <w:color w:val="auto"/>
          <w:sz w:val="24"/>
          <w:szCs w:val="24"/>
        </w:rPr>
        <w:t>请登录政采云投标客户端投标</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六、公告期限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自本公告发布之日起5个工作日。</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七、</w:t>
      </w:r>
      <w:r>
        <w:rPr>
          <w:rFonts w:hint="eastAsia" w:ascii="宋体" w:hAnsi="宋体" w:eastAsia="宋体" w:cs="宋体"/>
          <w:b/>
          <w:bCs/>
          <w:color w:val="000000" w:themeColor="text1"/>
          <w:sz w:val="24"/>
          <w:szCs w:val="24"/>
          <w14:textFill>
            <w14:solidFill>
              <w14:schemeClr w14:val="tx1"/>
            </w14:solidFill>
          </w14:textFill>
        </w:rPr>
        <w:t>其他补充事宜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供应商应当在法定质疑期内一次性提出针对同一采购程序环节的质疑。</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八、凡对本次采购提出询问，请按以下方式联系。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1.采购人信息</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w:t>
      </w:r>
      <w:r>
        <w:rPr>
          <w:rFonts w:hint="eastAsia" w:ascii="宋体" w:hAnsi="宋体" w:eastAsia="宋体" w:cs="宋体"/>
          <w:color w:val="000000" w:themeColor="text1"/>
          <w:sz w:val="24"/>
          <w:szCs w:val="24"/>
          <w:lang w:val="en-US" w:eastAsia="zh-CN"/>
          <w14:textFill>
            <w14:solidFill>
              <w14:schemeClr w14:val="tx1"/>
            </w14:solidFill>
          </w14:textFill>
        </w:rPr>
        <w:t>临汾市应急管理局</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val="en-US" w:eastAsia="zh-CN"/>
          <w14:textFill>
            <w14:solidFill>
              <w14:schemeClr w14:val="tx1"/>
            </w14:solidFill>
          </w14:textFill>
        </w:rPr>
        <w:t>临汾市尧都区西大街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cs="宋体"/>
          <w:color w:val="000000" w:themeColor="text1"/>
          <w:sz w:val="24"/>
          <w:szCs w:val="24"/>
          <w:lang w:val="en-US" w:eastAsia="zh-CN"/>
          <w14:textFill>
            <w14:solidFill>
              <w14:schemeClr w14:val="tx1"/>
            </w14:solidFill>
          </w14:textFill>
        </w:rPr>
        <w:t>0357-3366583</w:t>
      </w:r>
    </w:p>
    <w:p>
      <w:pPr>
        <w:numPr>
          <w:ilvl w:val="0"/>
          <w:numId w:val="3"/>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采购代理机构信息</w:t>
      </w:r>
    </w:p>
    <w:p>
      <w:pPr>
        <w:numPr>
          <w:ilvl w:val="0"/>
          <w:numId w:val="0"/>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名 称：山西兴大弘招标代理有限公司</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地 址：临汾市尧都区常兴街（中大街）热力职教楼6单元102</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联系方式：0357-2060006</w:t>
      </w:r>
    </w:p>
    <w:p>
      <w:pPr>
        <w:spacing w:line="360" w:lineRule="auto"/>
        <w:ind w:firstLine="480" w:firstLineChars="200"/>
        <w:rPr>
          <w:rFonts w:hint="eastAsia" w:ascii="宋体" w:hAnsi="宋体" w:eastAsia="宋体" w:cs="宋体"/>
          <w:color w:val="auto"/>
          <w:sz w:val="24"/>
        </w:rPr>
      </w:pPr>
      <w:bookmarkStart w:id="13" w:name="_Toc28359098"/>
      <w:bookmarkStart w:id="14" w:name="_Toc35393639"/>
      <w:bookmarkStart w:id="15" w:name="_Toc35393808"/>
      <w:bookmarkStart w:id="16" w:name="_Toc28359021"/>
      <w:r>
        <w:rPr>
          <w:rFonts w:hint="eastAsia" w:ascii="宋体" w:hAnsi="宋体" w:eastAsia="宋体" w:cs="宋体"/>
          <w:color w:val="auto"/>
          <w:sz w:val="24"/>
        </w:rPr>
        <w:t>3.项目联系方式</w:t>
      </w:r>
      <w:bookmarkEnd w:id="13"/>
      <w:bookmarkEnd w:id="14"/>
      <w:bookmarkEnd w:id="15"/>
      <w:bookmarkEnd w:id="16"/>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项目联系人:</w:t>
      </w:r>
      <w:r>
        <w:rPr>
          <w:rFonts w:hint="eastAsia" w:ascii="宋体" w:hAnsi="宋体" w:cs="宋体"/>
          <w:color w:val="auto"/>
          <w:sz w:val="24"/>
          <w:lang w:eastAsia="zh-CN"/>
        </w:rPr>
        <w:t>王</w:t>
      </w:r>
      <w:r>
        <w:rPr>
          <w:rFonts w:hint="eastAsia" w:ascii="宋体" w:hAnsi="宋体" w:eastAsia="宋体" w:cs="宋体"/>
          <w:color w:val="auto"/>
          <w:sz w:val="24"/>
        </w:rPr>
        <w:t>女士</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电　话:0357-2060006</w:t>
      </w:r>
    </w:p>
    <w:p>
      <w:pPr>
        <w:spacing w:line="360" w:lineRule="auto"/>
        <w:rPr>
          <w:rFonts w:hint="eastAsia" w:ascii="宋体" w:hAnsi="宋体" w:eastAsia="宋体" w:cs="宋体"/>
          <w:color w:val="000000" w:themeColor="text1"/>
          <w14:textFill>
            <w14:solidFill>
              <w14:schemeClr w14:val="tx1"/>
            </w14:solidFill>
          </w14:textFill>
        </w:rPr>
      </w:pPr>
      <w:bookmarkStart w:id="17" w:name="_Toc22574"/>
      <w:r>
        <w:rPr>
          <w:rFonts w:hint="eastAsia" w:ascii="宋体" w:hAnsi="宋体" w:eastAsia="宋体" w:cs="宋体"/>
          <w:color w:val="000000" w:themeColor="text1"/>
          <w14:textFill>
            <w14:solidFill>
              <w14:schemeClr w14:val="tx1"/>
            </w14:solidFill>
          </w14:textFill>
        </w:rPr>
        <w:br w:type="page"/>
      </w:r>
    </w:p>
    <w:p>
      <w:pPr>
        <w:pStyle w:val="5"/>
        <w:rPr>
          <w:rFonts w:hint="eastAsia"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第二部分  磋商供应商须知前附表</w:t>
      </w:r>
      <w:bookmarkEnd w:id="17"/>
    </w:p>
    <w:tbl>
      <w:tblPr>
        <w:tblStyle w:val="32"/>
        <w:tblW w:w="5242" w:type="pct"/>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164"/>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6" w:type="pct"/>
            <w:vAlign w:val="center"/>
          </w:tcPr>
          <w:p>
            <w:pPr>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1036" w:type="pct"/>
            <w:vAlign w:val="center"/>
          </w:tcPr>
          <w:p>
            <w:pPr>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内  容</w:t>
            </w:r>
          </w:p>
        </w:tc>
        <w:tc>
          <w:tcPr>
            <w:tcW w:w="3617" w:type="pct"/>
            <w:shd w:val="clear" w:color="auto" w:fill="auto"/>
            <w:vAlign w:val="center"/>
          </w:tcPr>
          <w:p>
            <w:pPr>
              <w:pStyle w:val="3"/>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346" w:type="pct"/>
            <w:vAlign w:val="center"/>
          </w:tcPr>
          <w:p>
            <w:pPr>
              <w:snapToGrid w:val="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p>
        </w:tc>
        <w:tc>
          <w:tcPr>
            <w:tcW w:w="1036" w:type="pct"/>
            <w:vAlign w:val="center"/>
          </w:tcPr>
          <w:p>
            <w:pPr>
              <w:pStyle w:val="59"/>
              <w:tabs>
                <w:tab w:val="clear" w:pos="2880"/>
              </w:tabs>
              <w:snapToGrid w:val="0"/>
              <w:ind w:lef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磋商供应商应具备的资格要求</w:t>
            </w:r>
          </w:p>
        </w:tc>
        <w:tc>
          <w:tcPr>
            <w:tcW w:w="3617" w:type="pct"/>
            <w:shd w:val="clear" w:color="auto" w:fill="auto"/>
            <w:vAlign w:val="center"/>
          </w:tcPr>
          <w:p>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1、具备政府采购法第二十二条第一款规定的条件；</w:t>
            </w:r>
          </w:p>
          <w:p>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2、本包不接受联合体磋商</w:t>
            </w:r>
            <w:r>
              <w:rPr>
                <w:rFonts w:hint="eastAsia" w:ascii="宋体" w:hAnsi="宋体" w:eastAsia="宋体" w:cs="宋体"/>
                <w:color w:val="000000" w:themeColor="text1"/>
                <w:sz w:val="24"/>
                <w:szCs w:val="24"/>
                <w:lang w:eastAsia="zh-CN"/>
                <w14:textFill>
                  <w14:solidFill>
                    <w14:schemeClr w14:val="tx1"/>
                  </w14:solidFill>
                </w14:textFill>
              </w:rPr>
              <w:t>；</w:t>
            </w:r>
          </w:p>
          <w:p>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3、本包不接受代理商磋商</w:t>
            </w:r>
            <w:r>
              <w:rPr>
                <w:rFonts w:hint="eastAsia" w:ascii="宋体" w:hAnsi="宋体" w:eastAsia="宋体" w:cs="宋体"/>
                <w:color w:val="000000" w:themeColor="text1"/>
                <w:sz w:val="24"/>
                <w:szCs w:val="24"/>
                <w:lang w:eastAsia="zh-CN"/>
                <w14:textFill>
                  <w14:solidFill>
                    <w14:schemeClr w14:val="tx1"/>
                  </w14:solidFill>
                </w14:textFill>
              </w:rPr>
              <w:t>；</w:t>
            </w:r>
          </w:p>
          <w:p>
            <w:pPr>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落实政府采购政策需满足的资格要求：</w:t>
            </w:r>
            <w:r>
              <w:rPr>
                <w:rFonts w:hint="eastAsia" w:ascii="宋体" w:hAnsi="宋体" w:eastAsia="宋体" w:cs="宋体"/>
                <w:color w:val="000000" w:themeColor="text1"/>
                <w:sz w:val="24"/>
                <w:szCs w:val="24"/>
                <w:lang w:eastAsia="zh-CN"/>
                <w14:textFill>
                  <w14:solidFill>
                    <w14:schemeClr w14:val="tx1"/>
                  </w14:solidFill>
                </w14:textFill>
              </w:rPr>
              <w:t>供应商为中小企业</w:t>
            </w:r>
          </w:p>
          <w:p>
            <w:pPr>
              <w:jc w:val="left"/>
              <w:rPr>
                <w:rFonts w:hint="eastAsia" w:ascii="宋体" w:hAnsi="宋体" w:eastAsia="宋体" w:cs="宋体"/>
                <w:bCs/>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、本包所需的其他特定资格条件</w:t>
            </w:r>
            <w:r>
              <w:rPr>
                <w:rFonts w:hint="eastAsia" w:ascii="宋体" w:hAnsi="宋体" w:eastAsia="宋体" w:cs="宋体"/>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46" w:type="pct"/>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2</w:t>
            </w:r>
          </w:p>
        </w:tc>
        <w:tc>
          <w:tcPr>
            <w:tcW w:w="1036" w:type="pct"/>
            <w:vAlign w:val="center"/>
          </w:tcPr>
          <w:p>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响应文件（纸制）份数</w:t>
            </w:r>
          </w:p>
        </w:tc>
        <w:tc>
          <w:tcPr>
            <w:tcW w:w="3617" w:type="pct"/>
            <w:shd w:val="clear" w:color="auto" w:fill="auto"/>
            <w:vAlign w:val="center"/>
          </w:tcPr>
          <w:p>
            <w:pPr>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响应文件正本1份、副本2份（于中标结果发布之日起5日内邮寄至临汾市尧都区常兴街（中大街）热力职教楼6单元102）</w:t>
            </w: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6" w:hRule="atLeast"/>
        </w:trPr>
        <w:tc>
          <w:tcPr>
            <w:tcW w:w="346" w:type="pct"/>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3</w:t>
            </w:r>
          </w:p>
        </w:tc>
        <w:tc>
          <w:tcPr>
            <w:tcW w:w="1036" w:type="pct"/>
            <w:vAlign w:val="center"/>
          </w:tcPr>
          <w:p>
            <w:pPr>
              <w:snapToGrid w:val="0"/>
              <w:ind w:firstLine="120" w:firstLineChars="5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响应文件</w:t>
            </w:r>
          </w:p>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（资格证明文件）</w:t>
            </w:r>
          </w:p>
        </w:tc>
        <w:tc>
          <w:tcPr>
            <w:tcW w:w="3617" w:type="pct"/>
            <w:shd w:val="clear" w:color="auto" w:fill="auto"/>
            <w:vAlign w:val="center"/>
          </w:tcPr>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1、投标供应商代表证明</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（1）法定代表人（负责人）参加投标的，提供“法定代表人（负责人）证明书”；（格式见第</w:t>
            </w:r>
            <w:r>
              <w:rPr>
                <w:rFonts w:hint="eastAsia" w:ascii="宋体" w:hAnsi="宋体" w:cs="宋体"/>
                <w:b w:val="0"/>
                <w:bCs w:val="0"/>
                <w:sz w:val="24"/>
                <w:szCs w:val="24"/>
                <w:lang w:val="en-US" w:eastAsia="zh-CN"/>
              </w:rPr>
              <w:t>八</w:t>
            </w:r>
            <w:r>
              <w:rPr>
                <w:rFonts w:hint="eastAsia" w:ascii="宋体" w:hAnsi="宋体" w:eastAsia="宋体" w:cs="宋体"/>
                <w:b w:val="0"/>
                <w:bCs w:val="0"/>
                <w:sz w:val="24"/>
                <w:szCs w:val="24"/>
                <w:lang w:val="en-US" w:eastAsia="zh-CN"/>
              </w:rPr>
              <w:t>部分）</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（2）委托代理人参加投标的，提供“法定代表人（负责人）授权委托书”；（格式见第</w:t>
            </w:r>
            <w:r>
              <w:rPr>
                <w:rFonts w:hint="eastAsia" w:ascii="宋体" w:hAnsi="宋体" w:cs="宋体"/>
                <w:b w:val="0"/>
                <w:bCs w:val="0"/>
                <w:sz w:val="24"/>
                <w:szCs w:val="24"/>
                <w:lang w:val="en-US" w:eastAsia="zh-CN"/>
              </w:rPr>
              <w:t>八</w:t>
            </w:r>
            <w:r>
              <w:rPr>
                <w:rFonts w:hint="eastAsia" w:ascii="宋体" w:hAnsi="宋体" w:eastAsia="宋体" w:cs="宋体"/>
                <w:b w:val="0"/>
                <w:bCs w:val="0"/>
                <w:sz w:val="24"/>
                <w:szCs w:val="24"/>
                <w:lang w:val="en-US" w:eastAsia="zh-CN"/>
              </w:rPr>
              <w:t>部分）</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（3）自然人参加投标的，提供个人身份证明扫描件（格式见第</w:t>
            </w:r>
            <w:r>
              <w:rPr>
                <w:rFonts w:hint="eastAsia" w:ascii="宋体" w:hAnsi="宋体" w:cs="宋体"/>
                <w:b w:val="0"/>
                <w:bCs w:val="0"/>
                <w:sz w:val="24"/>
                <w:szCs w:val="24"/>
                <w:lang w:val="en-US" w:eastAsia="zh-CN"/>
              </w:rPr>
              <w:t>八</w:t>
            </w:r>
            <w:r>
              <w:rPr>
                <w:rFonts w:hint="eastAsia" w:ascii="宋体" w:hAnsi="宋体" w:eastAsia="宋体" w:cs="宋体"/>
                <w:b w:val="0"/>
                <w:bCs w:val="0"/>
                <w:sz w:val="24"/>
                <w:szCs w:val="24"/>
                <w:lang w:val="en-US" w:eastAsia="zh-CN"/>
              </w:rPr>
              <w:t>部分）</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2、响应函 （格式见第</w:t>
            </w:r>
            <w:r>
              <w:rPr>
                <w:rFonts w:hint="eastAsia" w:ascii="宋体" w:hAnsi="宋体" w:cs="宋体"/>
                <w:b w:val="0"/>
                <w:bCs w:val="0"/>
                <w:sz w:val="24"/>
                <w:szCs w:val="24"/>
                <w:lang w:val="en-US" w:eastAsia="zh-CN"/>
              </w:rPr>
              <w:t>八</w:t>
            </w:r>
            <w:r>
              <w:rPr>
                <w:rFonts w:hint="eastAsia" w:ascii="宋体" w:hAnsi="宋体" w:eastAsia="宋体" w:cs="宋体"/>
                <w:b w:val="0"/>
                <w:bCs w:val="0"/>
                <w:sz w:val="24"/>
                <w:szCs w:val="24"/>
                <w:lang w:val="en-US" w:eastAsia="zh-CN"/>
              </w:rPr>
              <w:t>部分）</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3、具有独立承担民事责任的能力（格式见第</w:t>
            </w:r>
            <w:r>
              <w:rPr>
                <w:rFonts w:hint="eastAsia" w:ascii="宋体" w:hAnsi="宋体" w:cs="宋体"/>
                <w:b w:val="0"/>
                <w:bCs w:val="0"/>
                <w:sz w:val="24"/>
                <w:szCs w:val="24"/>
                <w:lang w:val="en-US" w:eastAsia="zh-CN"/>
              </w:rPr>
              <w:t>八</w:t>
            </w:r>
            <w:r>
              <w:rPr>
                <w:rFonts w:hint="eastAsia" w:ascii="宋体" w:hAnsi="宋体" w:eastAsia="宋体" w:cs="宋体"/>
                <w:b w:val="0"/>
                <w:bCs w:val="0"/>
                <w:sz w:val="24"/>
                <w:szCs w:val="24"/>
                <w:lang w:val="en-US" w:eastAsia="zh-CN"/>
              </w:rPr>
              <w:t>部分）</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提供投标供应商有效的营业执照，或事业单位法人证书，或自然人身份证明，或其他非企业组织证明独立承担民事责任能力的文件；（扫描件）</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4、政府采购供应商信用承诺书</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（1）具有良好的商业信誉和健全的财务会计制度</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（2）具有依法缴纳税收和社会保障资金的良好记录</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（3）具有履行合同所必需的设备和专业技术能力</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（4）参加政府采购活动前三年内，在经营活动中没有重大违法记录</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5、投标保证金的交纳情况及开户许可证</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（1）提供响应保证金交纳证明扫描件；</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（2）提供投标人基本存款账户开户许可证（已取消企业银行账户许可的提供银行证明或提供取消企业银行账户许可的相关公告）扫描件。</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6、联合体磋商注意事项</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按照本部分序号1“本包是否接受联合体”规定提交相关证明文件。</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7、本项目落实政府采购政策的资格条件</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按照本部分序号1“落实政府采购政策的资格条件”规定提交相关证明文件。</w:t>
            </w:r>
          </w:p>
          <w:p>
            <w:pPr>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8、本项目要求的其他特定资格条件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46" w:type="pct"/>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4</w:t>
            </w:r>
          </w:p>
        </w:tc>
        <w:tc>
          <w:tcPr>
            <w:tcW w:w="1036" w:type="pct"/>
            <w:vAlign w:val="center"/>
          </w:tcPr>
          <w:p>
            <w:pPr>
              <w:snapToGrid w:val="0"/>
              <w:ind w:firstLine="120" w:firstLineChars="50"/>
              <w:jc w:val="center"/>
              <w:rPr>
                <w:rFonts w:hint="eastAsia" w:ascii="宋体" w:hAnsi="宋体" w:eastAsia="宋体" w:cs="宋体"/>
                <w:b/>
                <w:sz w:val="24"/>
                <w:szCs w:val="24"/>
              </w:rPr>
            </w:pPr>
            <w:r>
              <w:rPr>
                <w:rFonts w:hint="eastAsia" w:ascii="宋体" w:hAnsi="宋体" w:eastAsia="宋体" w:cs="宋体"/>
                <w:b/>
                <w:sz w:val="24"/>
                <w:szCs w:val="24"/>
              </w:rPr>
              <w:t>响应文件</w:t>
            </w:r>
          </w:p>
          <w:p>
            <w:pPr>
              <w:snapToGrid w:val="0"/>
              <w:rPr>
                <w:rFonts w:hint="eastAsia" w:ascii="宋体" w:hAnsi="宋体" w:eastAsia="宋体" w:cs="宋体"/>
                <w:b/>
                <w:sz w:val="24"/>
                <w:szCs w:val="24"/>
              </w:rPr>
            </w:pPr>
            <w:r>
              <w:rPr>
                <w:rFonts w:hint="eastAsia" w:ascii="宋体" w:hAnsi="宋体" w:eastAsia="宋体" w:cs="宋体"/>
                <w:b/>
                <w:sz w:val="24"/>
                <w:szCs w:val="24"/>
              </w:rPr>
              <w:t>（商务技术文件）</w:t>
            </w:r>
          </w:p>
        </w:tc>
        <w:tc>
          <w:tcPr>
            <w:tcW w:w="3617" w:type="pct"/>
            <w:shd w:val="clear" w:color="auto" w:fill="auto"/>
            <w:vAlign w:val="center"/>
          </w:tcPr>
          <w:p>
            <w:pPr>
              <w:ind w:left="331" w:hanging="361" w:hangingChars="150"/>
              <w:rPr>
                <w:rFonts w:hint="eastAsia" w:ascii="宋体" w:hAnsi="宋体" w:eastAsia="宋体" w:cs="宋体"/>
                <w:b/>
                <w:bCs/>
                <w:sz w:val="24"/>
                <w:szCs w:val="24"/>
              </w:rPr>
            </w:pPr>
            <w:r>
              <w:rPr>
                <w:rFonts w:hint="eastAsia" w:ascii="宋体" w:hAnsi="宋体" w:eastAsia="宋体" w:cs="宋体"/>
                <w:b/>
                <w:bCs/>
                <w:sz w:val="24"/>
                <w:szCs w:val="24"/>
              </w:rPr>
              <w:t>商务技术文件（符合性检查文件）：</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1、报价一览表</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2、供应商同类合同案例及相关证明资料</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3、项目管理机构配备</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4、商务技术服务偏离表</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5、本项目总体实施方案</w:t>
            </w:r>
          </w:p>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供应</w:t>
            </w:r>
            <w:r>
              <w:rPr>
                <w:rFonts w:hint="eastAsia" w:ascii="宋体" w:hAnsi="宋体" w:eastAsia="宋体" w:cs="宋体"/>
                <w:b w:val="0"/>
                <w:bCs w:val="0"/>
                <w:sz w:val="24"/>
                <w:szCs w:val="24"/>
              </w:rPr>
              <w:t>商认为需要提供的其他</w:t>
            </w:r>
            <w:r>
              <w:rPr>
                <w:rFonts w:hint="eastAsia" w:ascii="宋体" w:hAnsi="宋体" w:eastAsia="宋体" w:cs="宋体"/>
                <w:b w:val="0"/>
                <w:bCs w:val="0"/>
                <w:sz w:val="24"/>
                <w:szCs w:val="24"/>
                <w:lang w:eastAsia="zh-CN"/>
              </w:rPr>
              <w:t>商务、</w:t>
            </w:r>
            <w:r>
              <w:rPr>
                <w:rFonts w:hint="eastAsia" w:ascii="宋体" w:hAnsi="宋体" w:eastAsia="宋体" w:cs="宋体"/>
                <w:b w:val="0"/>
                <w:bCs w:val="0"/>
                <w:sz w:val="24"/>
                <w:szCs w:val="24"/>
              </w:rPr>
              <w:t>技术材料</w:t>
            </w:r>
          </w:p>
          <w:p>
            <w:pPr>
              <w:rPr>
                <w:rFonts w:hint="eastAsia" w:ascii="宋体" w:hAnsi="宋体" w:eastAsia="宋体" w:cs="宋体"/>
                <w:b/>
                <w:bCs/>
                <w:sz w:val="24"/>
                <w:szCs w:val="24"/>
              </w:rPr>
            </w:pPr>
            <w:r>
              <w:rPr>
                <w:rFonts w:hint="eastAsia" w:ascii="宋体" w:hAnsi="宋体" w:eastAsia="宋体" w:cs="宋体"/>
                <w:b/>
                <w:bCs/>
                <w:sz w:val="24"/>
                <w:szCs w:val="24"/>
              </w:rPr>
              <w:t>说明：</w:t>
            </w:r>
          </w:p>
          <w:p>
            <w:pPr>
              <w:rPr>
                <w:rFonts w:hint="eastAsia" w:ascii="宋体" w:hAnsi="宋体" w:eastAsia="宋体" w:cs="宋体"/>
                <w:b/>
                <w:sz w:val="24"/>
                <w:szCs w:val="24"/>
              </w:rPr>
            </w:pPr>
            <w:r>
              <w:rPr>
                <w:rFonts w:hint="eastAsia" w:ascii="宋体" w:hAnsi="宋体" w:eastAsia="宋体" w:cs="宋体"/>
                <w:b/>
                <w:bCs/>
                <w:sz w:val="24"/>
                <w:szCs w:val="24"/>
              </w:rPr>
              <w:t>1、</w:t>
            </w:r>
            <w:r>
              <w:rPr>
                <w:rFonts w:hint="eastAsia" w:ascii="宋体" w:hAnsi="宋体" w:eastAsia="宋体" w:cs="宋体"/>
                <w:b/>
                <w:sz w:val="24"/>
                <w:szCs w:val="24"/>
              </w:rPr>
              <w:t>以上内容涉及的格式资料详见第八部分；</w:t>
            </w:r>
          </w:p>
          <w:p>
            <w:pPr>
              <w:rPr>
                <w:rFonts w:hint="eastAsia" w:ascii="宋体" w:hAnsi="宋体" w:eastAsia="宋体" w:cs="宋体"/>
                <w:sz w:val="24"/>
                <w:szCs w:val="24"/>
              </w:rPr>
            </w:pPr>
            <w:r>
              <w:rPr>
                <w:rFonts w:hint="eastAsia" w:ascii="宋体" w:hAnsi="宋体" w:eastAsia="宋体" w:cs="宋体"/>
                <w:b/>
                <w:sz w:val="24"/>
                <w:szCs w:val="24"/>
              </w:rPr>
              <w:t>2、资格证明文件和商务技术文件装订为一册。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346" w:type="pct"/>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5</w:t>
            </w:r>
          </w:p>
        </w:tc>
        <w:tc>
          <w:tcPr>
            <w:tcW w:w="1036" w:type="pct"/>
            <w:vAlign w:val="center"/>
          </w:tcPr>
          <w:p>
            <w:pPr>
              <w:snapToGrid w:val="0"/>
              <w:ind w:firstLine="120" w:firstLineChars="50"/>
              <w:rPr>
                <w:rFonts w:hint="eastAsia" w:ascii="宋体" w:hAnsi="宋体" w:eastAsia="宋体" w:cs="宋体"/>
                <w:b/>
                <w:sz w:val="24"/>
                <w:szCs w:val="24"/>
              </w:rPr>
            </w:pPr>
            <w:r>
              <w:rPr>
                <w:rFonts w:hint="eastAsia" w:ascii="宋体" w:hAnsi="宋体" w:eastAsia="宋体" w:cs="宋体"/>
                <w:b/>
                <w:sz w:val="24"/>
                <w:szCs w:val="24"/>
              </w:rPr>
              <w:t>保证金金额</w:t>
            </w:r>
          </w:p>
        </w:tc>
        <w:tc>
          <w:tcPr>
            <w:tcW w:w="3617" w:type="pct"/>
            <w:shd w:val="clear" w:color="auto" w:fill="auto"/>
            <w:vAlign w:val="center"/>
          </w:tcPr>
          <w:p>
            <w:pPr>
              <w:snapToGrid w:val="0"/>
              <w:rPr>
                <w:rFonts w:hint="eastAsia" w:ascii="宋体" w:hAnsi="宋体" w:eastAsia="宋体" w:cs="宋体"/>
                <w:sz w:val="24"/>
                <w:szCs w:val="24"/>
              </w:rPr>
            </w:pPr>
            <w:r>
              <w:rPr>
                <w:rFonts w:hint="eastAsia" w:ascii="宋体" w:hAnsi="宋体" w:eastAsia="宋体" w:cs="宋体"/>
                <w:sz w:val="24"/>
                <w:szCs w:val="24"/>
              </w:rPr>
              <w:t>□本项目不要求提交投标保证金。</w:t>
            </w:r>
          </w:p>
          <w:p>
            <w:pPr>
              <w:pStyle w:val="3"/>
              <w:snapToGrid w:val="0"/>
              <w:rPr>
                <w:rFonts w:hint="eastAsia" w:ascii="宋体" w:hAnsi="宋体" w:eastAsia="宋体" w:cs="宋体"/>
                <w:sz w:val="24"/>
                <w:szCs w:val="24"/>
              </w:rPr>
            </w:pPr>
            <w:r>
              <w:rPr>
                <w:rFonts w:hint="eastAsia" w:ascii="宋体" w:hAnsi="宋体" w:eastAsia="宋体" w:cs="宋体"/>
                <w:sz w:val="24"/>
                <w:szCs w:val="24"/>
              </w:rPr>
              <w:sym w:font="Wingdings 2" w:char="0052"/>
            </w:r>
            <w:r>
              <w:rPr>
                <w:rFonts w:hint="eastAsia" w:ascii="宋体" w:hAnsi="宋体" w:eastAsia="宋体" w:cs="宋体"/>
                <w:sz w:val="24"/>
                <w:szCs w:val="24"/>
              </w:rPr>
              <w:t>本项目要求提交投标保证金。保证金金额</w:t>
            </w:r>
            <w:r>
              <w:rPr>
                <w:rFonts w:hint="eastAsia" w:ascii="宋体" w:hAnsi="宋体" w:eastAsia="宋体" w:cs="宋体"/>
                <w:color w:val="000000" w:themeColor="text1"/>
                <w:sz w:val="24"/>
                <w:szCs w:val="24"/>
                <w14:textFill>
                  <w14:solidFill>
                    <w14:schemeClr w14:val="tx1"/>
                  </w14:solidFill>
                </w14:textFill>
              </w:rPr>
              <w:t>为</w:t>
            </w:r>
            <w:r>
              <w:rPr>
                <w:rFonts w:hint="eastAsia"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9000元</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sz w:val="24"/>
                <w:szCs w:val="24"/>
              </w:rPr>
              <w:t xml:space="preserve">  </w:t>
            </w:r>
          </w:p>
          <w:p>
            <w:pPr>
              <w:pStyle w:val="3"/>
              <w:numPr>
                <w:ilvl w:val="0"/>
                <w:numId w:val="4"/>
              </w:numPr>
              <w:snapToGrid w:val="0"/>
              <w:rPr>
                <w:rFonts w:hint="eastAsia" w:ascii="宋体" w:hAnsi="宋体" w:eastAsia="宋体" w:cs="宋体"/>
                <w:sz w:val="24"/>
                <w:szCs w:val="24"/>
              </w:rPr>
            </w:pPr>
            <w:r>
              <w:rPr>
                <w:rFonts w:hint="eastAsia" w:ascii="宋体" w:hAnsi="宋体" w:eastAsia="宋体" w:cs="宋体"/>
                <w:sz w:val="24"/>
                <w:szCs w:val="24"/>
              </w:rPr>
              <w:t>磋商保证金的形式：转账形式</w:t>
            </w:r>
          </w:p>
          <w:p>
            <w:pPr>
              <w:pStyle w:val="3"/>
              <w:snapToGrid w:val="0"/>
              <w:rPr>
                <w:rFonts w:hint="eastAsia" w:ascii="宋体" w:hAnsi="宋体" w:eastAsia="宋体" w:cs="宋体"/>
                <w:sz w:val="24"/>
                <w:szCs w:val="24"/>
                <w:lang w:eastAsia="zh-CN"/>
              </w:rPr>
            </w:pPr>
            <w:r>
              <w:rPr>
                <w:rFonts w:hint="eastAsia" w:ascii="宋体" w:hAnsi="宋体" w:eastAsia="宋体" w:cs="宋体"/>
                <w:sz w:val="24"/>
                <w:szCs w:val="24"/>
              </w:rPr>
              <w:t>收款单位全称：</w:t>
            </w:r>
            <w:r>
              <w:rPr>
                <w:rFonts w:hint="eastAsia" w:ascii="宋体" w:hAnsi="宋体" w:eastAsia="宋体" w:cs="宋体"/>
                <w:sz w:val="24"/>
                <w:szCs w:val="24"/>
                <w:lang w:eastAsia="zh-CN"/>
              </w:rPr>
              <w:t>山西兴大弘招标代理有限公司</w:t>
            </w:r>
          </w:p>
          <w:p>
            <w:pPr>
              <w:pStyle w:val="3"/>
              <w:snapToGrid w:val="0"/>
              <w:rPr>
                <w:rFonts w:hint="eastAsia" w:ascii="宋体" w:hAnsi="宋体" w:eastAsia="宋体" w:cs="宋体"/>
                <w:sz w:val="24"/>
                <w:szCs w:val="24"/>
                <w:lang w:eastAsia="zh-CN"/>
              </w:rPr>
            </w:pPr>
            <w:r>
              <w:rPr>
                <w:rFonts w:hint="eastAsia" w:ascii="宋体" w:hAnsi="宋体" w:eastAsia="宋体" w:cs="宋体"/>
                <w:sz w:val="24"/>
                <w:szCs w:val="24"/>
              </w:rPr>
              <w:t>开   户   行：</w:t>
            </w:r>
            <w:r>
              <w:rPr>
                <w:rFonts w:hint="eastAsia" w:ascii="宋体" w:hAnsi="宋体" w:eastAsia="宋体" w:cs="宋体"/>
                <w:sz w:val="24"/>
                <w:szCs w:val="24"/>
                <w:lang w:eastAsia="zh-CN"/>
              </w:rPr>
              <w:t>中国工商银行股份有限公司临汾城建支行</w:t>
            </w:r>
          </w:p>
          <w:p>
            <w:pPr>
              <w:pStyle w:val="3"/>
              <w:snapToGrid w:val="0"/>
              <w:rPr>
                <w:rFonts w:hint="eastAsia" w:ascii="宋体" w:hAnsi="宋体" w:eastAsia="宋体" w:cs="宋体"/>
                <w:sz w:val="24"/>
                <w:szCs w:val="24"/>
                <w:lang w:val="en-US" w:eastAsia="zh-CN"/>
              </w:rPr>
            </w:pPr>
            <w:r>
              <w:rPr>
                <w:rFonts w:hint="eastAsia" w:ascii="宋体" w:hAnsi="宋体" w:eastAsia="宋体" w:cs="宋体"/>
                <w:sz w:val="24"/>
                <w:szCs w:val="24"/>
              </w:rPr>
              <w:t>帐        号：</w:t>
            </w:r>
            <w:r>
              <w:rPr>
                <w:rFonts w:hint="eastAsia" w:ascii="宋体" w:hAnsi="宋体" w:eastAsia="宋体" w:cs="宋体"/>
                <w:sz w:val="24"/>
                <w:szCs w:val="24"/>
                <w:lang w:val="en-US" w:eastAsia="zh-CN"/>
              </w:rPr>
              <w:t>0510028209200004158</w:t>
            </w:r>
          </w:p>
          <w:p>
            <w:pPr>
              <w:pStyle w:val="3"/>
              <w:snapToGrid w:val="0"/>
              <w:rPr>
                <w:rFonts w:hint="eastAsia" w:ascii="宋体" w:hAnsi="宋体" w:eastAsia="宋体" w:cs="宋体"/>
                <w:sz w:val="24"/>
                <w:szCs w:val="24"/>
              </w:rPr>
            </w:pPr>
            <w:r>
              <w:rPr>
                <w:rFonts w:hint="eastAsia" w:ascii="宋体" w:hAnsi="宋体" w:eastAsia="宋体" w:cs="宋体"/>
                <w:sz w:val="24"/>
                <w:szCs w:val="24"/>
              </w:rPr>
              <w:t>用  途/备 注：投标保证金</w:t>
            </w:r>
          </w:p>
          <w:p>
            <w:pPr>
              <w:pStyle w:val="3"/>
              <w:snapToGrid w:val="0"/>
              <w:rPr>
                <w:rFonts w:hint="eastAsia" w:ascii="宋体" w:hAnsi="宋体" w:eastAsia="宋体" w:cs="宋体"/>
                <w:sz w:val="24"/>
                <w:szCs w:val="24"/>
              </w:rPr>
            </w:pPr>
            <w:r>
              <w:rPr>
                <w:rFonts w:hint="eastAsia" w:ascii="宋体" w:hAnsi="宋体" w:eastAsia="宋体" w:cs="宋体"/>
                <w:sz w:val="24"/>
                <w:szCs w:val="24"/>
              </w:rPr>
              <w:t>交付方式：通过本单位银行基本账户递交</w:t>
            </w:r>
          </w:p>
          <w:p>
            <w:pPr>
              <w:pStyle w:val="3"/>
              <w:snapToGrid w:val="0"/>
              <w:rPr>
                <w:rFonts w:hint="eastAsia" w:ascii="宋体" w:hAnsi="宋体" w:eastAsia="宋体" w:cs="宋体"/>
                <w:sz w:val="24"/>
                <w:szCs w:val="24"/>
              </w:rPr>
            </w:pPr>
            <w:r>
              <w:rPr>
                <w:rFonts w:hint="eastAsia" w:ascii="宋体" w:hAnsi="宋体" w:eastAsia="宋体" w:cs="宋体"/>
                <w:sz w:val="24"/>
                <w:szCs w:val="24"/>
              </w:rPr>
              <w:t>退还方式：通过本单位银行账户全额返还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46" w:type="pct"/>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6</w:t>
            </w:r>
          </w:p>
        </w:tc>
        <w:tc>
          <w:tcPr>
            <w:tcW w:w="1036" w:type="pct"/>
            <w:vAlign w:val="center"/>
          </w:tcPr>
          <w:p>
            <w:pPr>
              <w:snapToGrid w:val="0"/>
              <w:rPr>
                <w:rFonts w:hint="eastAsia" w:ascii="宋体" w:hAnsi="宋体" w:eastAsia="宋体" w:cs="宋体"/>
                <w:b/>
                <w:bCs/>
                <w:sz w:val="24"/>
                <w:szCs w:val="24"/>
              </w:rPr>
            </w:pPr>
            <w:r>
              <w:rPr>
                <w:rFonts w:hint="eastAsia" w:ascii="宋体" w:hAnsi="宋体" w:eastAsia="宋体" w:cs="宋体"/>
                <w:b/>
                <w:sz w:val="24"/>
                <w:szCs w:val="24"/>
              </w:rPr>
              <w:t>响应文件有效期</w:t>
            </w:r>
          </w:p>
        </w:tc>
        <w:tc>
          <w:tcPr>
            <w:tcW w:w="3617" w:type="pct"/>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90个日历天（从提交响应文件之日起计算）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46" w:type="pct"/>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7</w:t>
            </w:r>
          </w:p>
        </w:tc>
        <w:tc>
          <w:tcPr>
            <w:tcW w:w="1036" w:type="pct"/>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政府采购</w:t>
            </w:r>
          </w:p>
          <w:p>
            <w:pPr>
              <w:snapToGrid w:val="0"/>
              <w:jc w:val="center"/>
              <w:rPr>
                <w:rFonts w:hint="eastAsia" w:ascii="宋体" w:hAnsi="宋体" w:eastAsia="宋体" w:cs="宋体"/>
                <w:b/>
                <w:sz w:val="24"/>
                <w:szCs w:val="24"/>
              </w:rPr>
            </w:pPr>
            <w:r>
              <w:rPr>
                <w:rFonts w:hint="eastAsia" w:ascii="宋体" w:hAnsi="宋体" w:eastAsia="宋体" w:cs="宋体"/>
                <w:b/>
                <w:sz w:val="24"/>
                <w:szCs w:val="24"/>
              </w:rPr>
              <w:t>相关政策要求</w:t>
            </w:r>
          </w:p>
          <w:p>
            <w:pPr>
              <w:snapToGrid w:val="0"/>
              <w:jc w:val="center"/>
              <w:rPr>
                <w:rFonts w:hint="eastAsia" w:ascii="宋体" w:hAnsi="宋体" w:eastAsia="宋体" w:cs="宋体"/>
                <w:b/>
                <w:sz w:val="24"/>
                <w:szCs w:val="24"/>
              </w:rPr>
            </w:pPr>
            <w:r>
              <w:rPr>
                <w:rFonts w:hint="eastAsia" w:ascii="宋体" w:hAnsi="宋体" w:eastAsia="宋体" w:cs="宋体"/>
                <w:b/>
                <w:sz w:val="24"/>
                <w:szCs w:val="24"/>
              </w:rPr>
              <w:t>（如涉及的话）</w:t>
            </w:r>
          </w:p>
        </w:tc>
        <w:tc>
          <w:tcPr>
            <w:tcW w:w="3617" w:type="pct"/>
            <w:shd w:val="clear" w:color="auto" w:fill="auto"/>
            <w:vAlign w:val="center"/>
          </w:tcPr>
          <w:p>
            <w:pPr>
              <w:ind w:left="331" w:hanging="360" w:hangingChars="150"/>
              <w:rPr>
                <w:rFonts w:hint="eastAsia" w:ascii="宋体" w:hAnsi="宋体" w:eastAsia="宋体" w:cs="宋体"/>
                <w:sz w:val="24"/>
                <w:szCs w:val="24"/>
              </w:rPr>
            </w:pPr>
            <w:r>
              <w:rPr>
                <w:rFonts w:hint="eastAsia" w:ascii="宋体" w:hAnsi="宋体" w:eastAsia="宋体" w:cs="宋体"/>
                <w:sz w:val="24"/>
                <w:szCs w:val="24"/>
              </w:rPr>
              <w:t>1、本项目涉及进口产品的要求：</w:t>
            </w:r>
          </w:p>
          <w:p>
            <w:pPr>
              <w:spacing w:line="36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（1）本项目采购标的物未特别注明“进口产品”（通过中国海关报关验放进入中国境内且产自境外的产品）字样的，均必须采购国产产品。</w:t>
            </w:r>
          </w:p>
          <w:p>
            <w:pPr>
              <w:spacing w:line="36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2）本项目采购标的物特别注明“进口产品”字样的，如无能够满足采购需求的国产产品，优先采购向我国企业转让技术、与我国企业签订消化吸收再创新方案的供应商的进口产品。如果有能够满足采购需求的国产产品参与，应当按照公平竞争的原则</w:t>
            </w:r>
            <w:r>
              <w:rPr>
                <w:rFonts w:hint="eastAsia" w:ascii="宋体" w:hAnsi="宋体" w:cs="宋体"/>
                <w:sz w:val="24"/>
                <w:szCs w:val="24"/>
                <w:lang w:val="en-US" w:eastAsia="zh-CN"/>
              </w:rPr>
              <w:t xml:space="preserve"> </w:t>
            </w:r>
            <w:r>
              <w:rPr>
                <w:rFonts w:hint="eastAsia" w:ascii="宋体" w:hAnsi="宋体" w:eastAsia="宋体" w:cs="宋体"/>
                <w:sz w:val="24"/>
                <w:szCs w:val="24"/>
              </w:rPr>
              <w:t>进行评审。</w:t>
            </w:r>
          </w:p>
          <w:p>
            <w:pPr>
              <w:ind w:left="441" w:hanging="480" w:hangingChars="200"/>
              <w:rPr>
                <w:rFonts w:hint="eastAsia" w:ascii="宋体" w:hAnsi="宋体" w:eastAsia="宋体" w:cs="宋体"/>
                <w:sz w:val="24"/>
                <w:szCs w:val="24"/>
              </w:rPr>
            </w:pPr>
            <w:r>
              <w:rPr>
                <w:rFonts w:hint="eastAsia" w:ascii="宋体" w:hAnsi="宋体" w:eastAsia="宋体" w:cs="宋体"/>
                <w:sz w:val="24"/>
                <w:szCs w:val="24"/>
              </w:rPr>
              <w:t xml:space="preserve">2、本项目涉及“节能产品政府采购品目清单”政府强制采购产品的要求： </w:t>
            </w:r>
          </w:p>
          <w:p>
            <w:pPr>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1）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pPr>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（2）本文件未列出政府强制采购产品的，磋商供应商可投报“节能产品政府采购品目清单、环境标志产品政府采购品目清单”中非政府强制采购产品或其范围以外的产品。</w:t>
            </w:r>
          </w:p>
          <w:p>
            <w:pPr>
              <w:ind w:left="331" w:hanging="360" w:hangingChars="150"/>
              <w:rPr>
                <w:rFonts w:hint="eastAsia" w:ascii="宋体" w:hAnsi="宋体" w:eastAsia="宋体" w:cs="宋体"/>
                <w:sz w:val="24"/>
                <w:szCs w:val="24"/>
              </w:rPr>
            </w:pPr>
            <w:r>
              <w:rPr>
                <w:rFonts w:hint="eastAsia" w:ascii="宋体" w:hAnsi="宋体" w:eastAsia="宋体" w:cs="宋体"/>
                <w:sz w:val="24"/>
                <w:szCs w:val="24"/>
              </w:rPr>
              <w:t>3、本项目涉及非政府强制采购产品的要求：</w:t>
            </w:r>
          </w:p>
          <w:p>
            <w:pPr>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（1）投报产品有“节能产品政府采购品目清单、环境标志产品政府采购品目清单”中非政府强制采购产品的将给予适当加分。</w:t>
            </w:r>
          </w:p>
          <w:p>
            <w:pPr>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（2）磋商供应商须如实填写《非政府强制采购产品明细表》（格式自制），并提供处于有效期之内的节能产品、环境标志产品认证证书扫描件。</w:t>
            </w:r>
          </w:p>
          <w:p>
            <w:pPr>
              <w:rPr>
                <w:rFonts w:hint="eastAsia" w:ascii="宋体" w:hAnsi="宋体" w:eastAsia="宋体" w:cs="宋体"/>
                <w:sz w:val="24"/>
                <w:szCs w:val="24"/>
              </w:rPr>
            </w:pPr>
            <w:r>
              <w:rPr>
                <w:rFonts w:hint="eastAsia" w:ascii="宋体" w:hAnsi="宋体" w:eastAsia="宋体" w:cs="宋体"/>
                <w:sz w:val="24"/>
                <w:szCs w:val="24"/>
              </w:rPr>
              <w:t>4、本项目涉及正版软件的要求：</w:t>
            </w:r>
          </w:p>
          <w:p>
            <w:pPr>
              <w:ind w:left="315" w:leftChars="150"/>
              <w:rPr>
                <w:rFonts w:hint="eastAsia" w:ascii="宋体" w:hAnsi="宋体" w:eastAsia="宋体" w:cs="宋体"/>
                <w:sz w:val="24"/>
                <w:szCs w:val="24"/>
              </w:rPr>
            </w:pPr>
            <w:r>
              <w:rPr>
                <w:rFonts w:hint="eastAsia" w:ascii="宋体" w:hAnsi="宋体" w:eastAsia="宋体" w:cs="宋体"/>
                <w:sz w:val="24"/>
                <w:szCs w:val="24"/>
              </w:rPr>
              <w:t>磋商供应商需承诺投报的计算机产品预装正版操作系统，投报的硬件产品内的预装软件为正版软件。</w:t>
            </w:r>
          </w:p>
          <w:p>
            <w:pPr>
              <w:rPr>
                <w:rFonts w:hint="eastAsia" w:ascii="宋体" w:hAnsi="宋体" w:eastAsia="宋体" w:cs="宋体"/>
                <w:sz w:val="24"/>
                <w:szCs w:val="24"/>
              </w:rPr>
            </w:pPr>
            <w:r>
              <w:rPr>
                <w:rFonts w:hint="eastAsia" w:ascii="宋体" w:hAnsi="宋体" w:eastAsia="宋体" w:cs="宋体"/>
                <w:sz w:val="24"/>
                <w:szCs w:val="24"/>
              </w:rPr>
              <w:t>5、本项目涉及信息安全产品的要求：</w:t>
            </w:r>
          </w:p>
          <w:p>
            <w:pPr>
              <w:ind w:left="315" w:leftChars="150"/>
              <w:rPr>
                <w:rFonts w:hint="eastAsia" w:ascii="宋体" w:hAnsi="宋体" w:eastAsia="宋体" w:cs="宋体"/>
                <w:sz w:val="24"/>
                <w:szCs w:val="24"/>
              </w:rPr>
            </w:pPr>
            <w:r>
              <w:rPr>
                <w:rFonts w:hint="eastAsia" w:ascii="宋体" w:hAnsi="宋体" w:eastAsia="宋体" w:cs="宋体"/>
                <w:sz w:val="24"/>
                <w:szCs w:val="24"/>
              </w:rPr>
              <w:t>报价货物中如含有财政部会同有关部门制定下发的《信息安全产品强制性认证目录》中的产品（8类13项），需提供中国信息安全认证中心或中国网络安全审查技术与认证中心按国家标准认证颁发的有效认证证书。</w:t>
            </w:r>
          </w:p>
          <w:p>
            <w:pPr>
              <w:rPr>
                <w:rFonts w:hint="eastAsia" w:ascii="宋体" w:hAnsi="宋体" w:eastAsia="宋体" w:cs="宋体"/>
                <w:sz w:val="24"/>
                <w:szCs w:val="24"/>
              </w:rPr>
            </w:pPr>
            <w:r>
              <w:rPr>
                <w:rFonts w:hint="eastAsia" w:ascii="宋体" w:hAnsi="宋体" w:eastAsia="宋体" w:cs="宋体"/>
                <w:sz w:val="24"/>
                <w:szCs w:val="24"/>
              </w:rPr>
              <w:t>6、小型、微型企业参加本项目磋商要求：</w:t>
            </w:r>
          </w:p>
          <w:p>
            <w:pPr>
              <w:spacing w:line="36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pPr>
              <w:spacing w:line="36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2）小型、微企业只有提供本企业制造的货物或者服务，或者提供其他小型、微企业制造的货物，享受投标货物的价格折扣。若有的话，如实填写《小微企业/残疾人福利性单位提供货物/服务明细表》（格式见第八部分）。</w:t>
            </w:r>
          </w:p>
          <w:p>
            <w:pPr>
              <w:spacing w:line="36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（3）小型、微型企业提供的货物既有中小企业制造货物，也有大型企业制造货物的，不享受价格折扣。</w:t>
            </w:r>
          </w:p>
          <w:p>
            <w:pPr>
              <w:rPr>
                <w:rFonts w:hint="eastAsia" w:ascii="宋体" w:hAnsi="宋体" w:eastAsia="宋体" w:cs="宋体"/>
                <w:sz w:val="24"/>
                <w:szCs w:val="24"/>
              </w:rPr>
            </w:pPr>
            <w:r>
              <w:rPr>
                <w:rFonts w:hint="eastAsia" w:ascii="宋体" w:hAnsi="宋体" w:eastAsia="宋体" w:cs="宋体"/>
                <w:sz w:val="24"/>
                <w:szCs w:val="24"/>
              </w:rPr>
              <w:t>7、残疾人福利性单位参加本项目磋商的要求：</w:t>
            </w:r>
          </w:p>
          <w:p>
            <w:pPr>
              <w:spacing w:line="36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（1）须根据财库【2017】141号《关于促进残疾人就业政府采购政策的通知》的要求，如实填写残疾人福利性单位声明函（格式见第八部分）。</w:t>
            </w:r>
          </w:p>
          <w:p>
            <w:pPr>
              <w:spacing w:line="36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（2）供应商提供的《残疾人福利性单位声明函》与事实不符的，依照《政府采购法》第七十七条第一款的规定追究法律责任。</w:t>
            </w:r>
          </w:p>
          <w:p>
            <w:pPr>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3）残疾人福利性单位提供本企业制造的货物或者服务，或者提供其他残疾人福利性单位制造的货物，享受投标货物的价格折扣。若有的话，如实填写《中小微企业/残疾人福利性单位提供货物/服务明细表》（格式见第八部分）；</w:t>
            </w:r>
          </w:p>
          <w:p>
            <w:pPr>
              <w:rPr>
                <w:rFonts w:hint="eastAsia" w:ascii="宋体" w:hAnsi="宋体" w:eastAsia="宋体" w:cs="宋体"/>
                <w:sz w:val="24"/>
                <w:szCs w:val="24"/>
              </w:rPr>
            </w:pPr>
            <w:r>
              <w:rPr>
                <w:rFonts w:hint="eastAsia" w:ascii="宋体" w:hAnsi="宋体" w:eastAsia="宋体" w:cs="宋体"/>
                <w:sz w:val="24"/>
                <w:szCs w:val="24"/>
              </w:rPr>
              <w:t>8、本项目涉及创新产品、创新服务的要求：</w:t>
            </w:r>
          </w:p>
          <w:p>
            <w:pPr>
              <w:ind w:left="210" w:leftChars="100"/>
              <w:rPr>
                <w:rFonts w:hint="eastAsia" w:ascii="宋体" w:hAnsi="宋体" w:eastAsia="宋体" w:cs="宋体"/>
                <w:sz w:val="24"/>
                <w:szCs w:val="24"/>
              </w:rPr>
            </w:pPr>
            <w:r>
              <w:rPr>
                <w:rFonts w:hint="eastAsia" w:ascii="宋体" w:hAnsi="宋体" w:eastAsia="宋体" w:cs="宋体"/>
                <w:sz w:val="24"/>
                <w:szCs w:val="24"/>
              </w:rPr>
              <w:t>（1）磋商供应商所报产品或服务属于《山西省创新产品和服务推荐清单》中创新产品或创新服务的，在评审时，享受所报产品或服务价格折扣。</w:t>
            </w:r>
          </w:p>
          <w:p>
            <w:pPr>
              <w:ind w:left="210" w:leftChars="100"/>
              <w:rPr>
                <w:rFonts w:hint="eastAsia" w:ascii="宋体" w:hAnsi="宋体" w:eastAsia="宋体" w:cs="宋体"/>
                <w:sz w:val="24"/>
                <w:szCs w:val="24"/>
              </w:rPr>
            </w:pPr>
            <w:r>
              <w:rPr>
                <w:rFonts w:hint="eastAsia" w:ascii="宋体" w:hAnsi="宋体" w:eastAsia="宋体" w:cs="宋体"/>
                <w:sz w:val="24"/>
                <w:szCs w:val="24"/>
              </w:rPr>
              <w:t>（2）磋商供应商所报创新产品或创新服务的，应在响应文件中提供《山西省创新产品和服务推荐清单》，并填写《创新产品或创新服务明细表》（格式见第八部分）。</w:t>
            </w:r>
          </w:p>
          <w:p>
            <w:pPr>
              <w:spacing w:line="360" w:lineRule="exact"/>
              <w:rPr>
                <w:rFonts w:hint="eastAsia" w:ascii="宋体" w:hAnsi="宋体" w:eastAsia="宋体" w:cs="宋体"/>
                <w:sz w:val="24"/>
                <w:szCs w:val="24"/>
              </w:rPr>
            </w:pPr>
            <w:r>
              <w:rPr>
                <w:rFonts w:hint="eastAsia" w:ascii="宋体" w:hAnsi="宋体" w:eastAsia="宋体" w:cs="宋体"/>
                <w:sz w:val="24"/>
                <w:szCs w:val="24"/>
              </w:rPr>
              <w:t>9、监狱企业参加本项目磋商的要求：</w:t>
            </w:r>
          </w:p>
          <w:p>
            <w:pPr>
              <w:spacing w:line="36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（1）监狱企业参加磋商视同小微企业，需提供由省级以上监狱管理局或戒毒管理局出具的属于监狱企业的证明文件。</w:t>
            </w:r>
          </w:p>
          <w:p>
            <w:pPr>
              <w:spacing w:line="360" w:lineRule="exact"/>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2）监狱企业只有提供本企业制造的货物或服务，或者提供其他小、微企业制造的货物，享受所报货物或服务的价格折扣。若有的话，如实填写《小微企业/残疾人福利性单位提供货物/服务明细表》（格式见第八部分）；</w:t>
            </w:r>
          </w:p>
          <w:p>
            <w:pPr>
              <w:pStyle w:val="23"/>
              <w:ind w:left="330" w:leftChars="100" w:hanging="120" w:hangingChars="50"/>
              <w:rPr>
                <w:rFonts w:hint="eastAsia" w:ascii="宋体" w:hAnsi="宋体" w:eastAsia="宋体" w:cs="宋体"/>
                <w:sz w:val="24"/>
                <w:szCs w:val="24"/>
              </w:rPr>
            </w:pPr>
            <w:r>
              <w:rPr>
                <w:rFonts w:hint="eastAsia" w:ascii="宋体" w:hAnsi="宋体" w:eastAsia="宋体" w:cs="宋体"/>
                <w:sz w:val="24"/>
                <w:szCs w:val="24"/>
              </w:rPr>
              <w:t>（3）监狱企业与中型企业组成联合体参加磋商的，或者向监狱企业分包，且联合体协议或分包意向协议约定监狱企业的协议金额占到合同金额30%以上的，享受价格折扣。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6" w:type="pct"/>
            <w:vAlign w:val="center"/>
          </w:tcPr>
          <w:p>
            <w:pPr>
              <w:snapToGrid w:val="0"/>
              <w:jc w:val="center"/>
              <w:rPr>
                <w:rFonts w:hint="eastAsia" w:ascii="宋体" w:hAnsi="宋体" w:eastAsia="宋体" w:cs="宋体"/>
                <w:b/>
                <w:sz w:val="24"/>
                <w:szCs w:val="24"/>
              </w:rPr>
            </w:pPr>
            <w:r>
              <w:rPr>
                <w:rFonts w:hint="eastAsia" w:ascii="宋体" w:hAnsi="宋体" w:eastAsia="宋体" w:cs="宋体"/>
                <w:b/>
                <w:sz w:val="24"/>
                <w:szCs w:val="24"/>
              </w:rPr>
              <w:t>8</w:t>
            </w:r>
          </w:p>
        </w:tc>
        <w:tc>
          <w:tcPr>
            <w:tcW w:w="1036" w:type="pct"/>
            <w:vAlign w:val="center"/>
          </w:tcPr>
          <w:p>
            <w:pPr>
              <w:snapToGrid w:val="0"/>
              <w:ind w:firstLine="120" w:firstLineChars="50"/>
              <w:jc w:val="center"/>
              <w:rPr>
                <w:rFonts w:hint="eastAsia" w:ascii="宋体" w:hAnsi="宋体" w:eastAsia="宋体" w:cs="宋体"/>
                <w:b/>
                <w:sz w:val="24"/>
                <w:szCs w:val="24"/>
              </w:rPr>
            </w:pPr>
            <w:r>
              <w:rPr>
                <w:rFonts w:hint="eastAsia" w:ascii="宋体" w:hAnsi="宋体" w:eastAsia="宋体" w:cs="宋体"/>
                <w:b/>
                <w:sz w:val="24"/>
                <w:szCs w:val="24"/>
              </w:rPr>
              <w:t>现场勘查</w:t>
            </w:r>
          </w:p>
          <w:p>
            <w:pPr>
              <w:snapToGrid w:val="0"/>
              <w:ind w:firstLine="120" w:firstLineChars="50"/>
              <w:jc w:val="center"/>
              <w:rPr>
                <w:rFonts w:hint="eastAsia" w:ascii="宋体" w:hAnsi="宋体" w:eastAsia="宋体" w:cs="宋体"/>
                <w:b/>
                <w:sz w:val="24"/>
                <w:szCs w:val="24"/>
              </w:rPr>
            </w:pPr>
            <w:r>
              <w:rPr>
                <w:rFonts w:hint="eastAsia" w:ascii="宋体" w:hAnsi="宋体" w:eastAsia="宋体" w:cs="宋体"/>
                <w:b/>
                <w:sz w:val="24"/>
                <w:szCs w:val="24"/>
              </w:rPr>
              <w:t>（或磋商前答疑会）</w:t>
            </w:r>
          </w:p>
        </w:tc>
        <w:tc>
          <w:tcPr>
            <w:tcW w:w="3617" w:type="pct"/>
            <w:shd w:val="clear" w:color="auto" w:fill="auto"/>
            <w:vAlign w:val="center"/>
          </w:tcPr>
          <w:p>
            <w:pPr>
              <w:ind w:firstLine="240" w:firstLineChars="100"/>
              <w:rPr>
                <w:rFonts w:hint="eastAsia" w:ascii="宋体" w:hAnsi="宋体" w:eastAsia="宋体" w:cs="宋体"/>
                <w:b/>
                <w:bCs/>
                <w:kern w:val="0"/>
                <w:sz w:val="24"/>
                <w:szCs w:val="24"/>
                <w:lang w:eastAsia="zh-CN"/>
              </w:rPr>
            </w:pPr>
            <w:r>
              <w:rPr>
                <w:rFonts w:hint="eastAsia" w:ascii="宋体" w:hAnsi="宋体" w:eastAsia="宋体" w:cs="宋体"/>
                <w:b w:val="0"/>
                <w:bCs w:val="0"/>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46" w:type="pct"/>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9</w:t>
            </w:r>
          </w:p>
        </w:tc>
        <w:tc>
          <w:tcPr>
            <w:tcW w:w="1036" w:type="pct"/>
            <w:vAlign w:val="center"/>
          </w:tcPr>
          <w:p>
            <w:pPr>
              <w:snapToGrid w:val="0"/>
              <w:ind w:firstLine="120" w:firstLineChars="50"/>
              <w:jc w:val="center"/>
              <w:rPr>
                <w:rFonts w:hint="eastAsia" w:ascii="宋体" w:hAnsi="宋体" w:eastAsia="宋体" w:cs="宋体"/>
                <w:b/>
                <w:sz w:val="24"/>
                <w:szCs w:val="24"/>
              </w:rPr>
            </w:pPr>
            <w:r>
              <w:rPr>
                <w:rFonts w:hint="eastAsia" w:ascii="宋体" w:hAnsi="宋体" w:eastAsia="宋体" w:cs="宋体"/>
                <w:b/>
                <w:sz w:val="24"/>
                <w:szCs w:val="24"/>
              </w:rPr>
              <w:t>磋商过程中根据磋商情况可能实质性变动内容</w:t>
            </w:r>
          </w:p>
        </w:tc>
        <w:tc>
          <w:tcPr>
            <w:tcW w:w="3617" w:type="pct"/>
            <w:shd w:val="clear" w:color="auto" w:fill="auto"/>
            <w:vAlign w:val="center"/>
          </w:tcPr>
          <w:p>
            <w:pPr>
              <w:pStyle w:val="61"/>
              <w:snapToGrid w:val="0"/>
              <w:textAlignment w:val="auto"/>
              <w:rPr>
                <w:rFonts w:hint="eastAsia" w:ascii="宋体" w:hAnsi="宋体" w:eastAsia="宋体" w:cs="宋体"/>
                <w:sz w:val="24"/>
                <w:szCs w:val="24"/>
              </w:rPr>
            </w:pPr>
            <w:r>
              <w:rPr>
                <w:rFonts w:hint="eastAsia" w:ascii="宋体" w:hAnsi="宋体" w:eastAsia="宋体" w:cs="宋体"/>
                <w:sz w:val="24"/>
                <w:szCs w:val="24"/>
              </w:rPr>
              <w:t>本项目第四部分中的技术要求、商务要求、合同草案。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46" w:type="pct"/>
            <w:vAlign w:val="center"/>
          </w:tcPr>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10</w:t>
            </w:r>
          </w:p>
        </w:tc>
        <w:tc>
          <w:tcPr>
            <w:tcW w:w="1036" w:type="pct"/>
            <w:vAlign w:val="center"/>
          </w:tcPr>
          <w:p>
            <w:pPr>
              <w:snapToGrid w:val="0"/>
              <w:jc w:val="center"/>
              <w:rPr>
                <w:rFonts w:hint="eastAsia" w:ascii="宋体" w:hAnsi="宋体" w:eastAsia="宋体" w:cs="宋体"/>
                <w:b/>
                <w:sz w:val="24"/>
                <w:szCs w:val="24"/>
              </w:rPr>
            </w:pPr>
            <w:r>
              <w:rPr>
                <w:rFonts w:hint="eastAsia" w:ascii="宋体" w:hAnsi="宋体" w:eastAsia="宋体" w:cs="宋体"/>
                <w:b/>
                <w:bCs/>
                <w:sz w:val="24"/>
                <w:szCs w:val="24"/>
                <w:lang w:val="en-US" w:eastAsia="zh-CN"/>
              </w:rPr>
              <w:t>招标代理服务费</w:t>
            </w:r>
          </w:p>
        </w:tc>
        <w:tc>
          <w:tcPr>
            <w:tcW w:w="3617" w:type="pct"/>
            <w:shd w:val="clear" w:color="auto" w:fill="auto"/>
            <w:vAlign w:val="center"/>
          </w:tcPr>
          <w:p>
            <w:pPr>
              <w:snapToGrid w:val="0"/>
              <w:rPr>
                <w:rFonts w:hint="eastAsia" w:ascii="宋体" w:hAnsi="宋体" w:eastAsia="宋体" w:cs="宋体"/>
                <w:sz w:val="24"/>
                <w:szCs w:val="24"/>
              </w:rPr>
            </w:pPr>
            <w:r>
              <w:rPr>
                <w:rFonts w:hint="eastAsia" w:ascii="宋体" w:hAnsi="宋体" w:eastAsia="宋体" w:cs="宋体"/>
                <w:sz w:val="24"/>
                <w:szCs w:val="24"/>
              </w:rPr>
              <w:t>本次磋商按照国家发展计划委员会《招标代理服务收费管理暂行办法》（计价格【2002】1980号、发改办价格【2003】857号、发改价格【2011】534号）文件的规定收取招标代理费用，以成交价为计算基数计取。</w:t>
            </w:r>
          </w:p>
        </w:tc>
      </w:tr>
    </w:tbl>
    <w:p>
      <w:pPr>
        <w:rPr>
          <w:rFonts w:hint="eastAsia" w:ascii="宋体" w:hAnsi="宋体" w:eastAsia="宋体" w:cs="宋体"/>
          <w:sz w:val="24"/>
          <w:szCs w:val="24"/>
        </w:rPr>
      </w:pPr>
      <w:r>
        <w:rPr>
          <w:rFonts w:hint="eastAsia" w:ascii="宋体" w:hAnsi="宋体" w:eastAsia="宋体" w:cs="宋体"/>
          <w:sz w:val="24"/>
          <w:szCs w:val="24"/>
        </w:rPr>
        <w:t>注：本表内容与磋商供应商须知内容不一致的，以本表内容为准。</w:t>
      </w:r>
    </w:p>
    <w:p>
      <w:pPr>
        <w:rPr>
          <w:rFonts w:hint="eastAsia" w:ascii="宋体" w:hAnsi="宋体" w:eastAsia="宋体" w:cs="宋体"/>
        </w:rPr>
      </w:pPr>
    </w:p>
    <w:p>
      <w:pPr>
        <w:widowControl/>
        <w:jc w:val="left"/>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bookmarkStart w:id="18" w:name="_Toc25272"/>
      <w:r>
        <w:rPr>
          <w:rFonts w:hint="eastAsia" w:ascii="宋体" w:hAnsi="宋体" w:eastAsia="宋体" w:cs="宋体"/>
        </w:rPr>
        <w:t>第三部分  磋商供应商须知</w:t>
      </w:r>
      <w:bookmarkEnd w:id="18"/>
    </w:p>
    <w:p>
      <w:pPr>
        <w:pStyle w:val="6"/>
        <w:ind w:left="420"/>
        <w:rPr>
          <w:rFonts w:hint="eastAsia" w:ascii="宋体" w:hAnsi="宋体" w:eastAsia="宋体" w:cs="宋体"/>
        </w:rPr>
      </w:pPr>
      <w:bookmarkStart w:id="19" w:name="_Toc23577"/>
      <w:bookmarkStart w:id="20" w:name="_Toc21443"/>
      <w:r>
        <w:rPr>
          <w:rFonts w:hint="eastAsia" w:ascii="宋体" w:hAnsi="宋体" w:eastAsia="宋体" w:cs="宋体"/>
        </w:rPr>
        <w:t>一、总则</w:t>
      </w:r>
      <w:bookmarkEnd w:id="19"/>
      <w:bookmarkEnd w:id="20"/>
    </w:p>
    <w:p>
      <w:pPr>
        <w:pStyle w:val="61"/>
        <w:snapToGrid w:val="0"/>
        <w:spacing w:line="360" w:lineRule="auto"/>
        <w:ind w:firstLine="522" w:firstLineChars="200"/>
        <w:textAlignment w:val="auto"/>
        <w:rPr>
          <w:rFonts w:hint="eastAsia" w:ascii="宋体" w:hAnsi="宋体" w:eastAsia="宋体" w:cs="宋体"/>
          <w:b/>
          <w:spacing w:val="10"/>
          <w:sz w:val="24"/>
          <w:szCs w:val="24"/>
        </w:rPr>
      </w:pPr>
      <w:r>
        <w:rPr>
          <w:rFonts w:hint="eastAsia" w:ascii="宋体" w:hAnsi="宋体" w:eastAsia="宋体" w:cs="宋体"/>
          <w:b/>
          <w:spacing w:val="10"/>
          <w:sz w:val="24"/>
          <w:szCs w:val="24"/>
        </w:rPr>
        <w:t>1. 适用范围</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本磋商文件仅适用于本次竞争性磋商活动。</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 定义</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“采购人”指本次竞争性磋商活动的采购单位。</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“采购代理机构”指组织本次招标活动的集中采购代理机构或其他采购代理机构。</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“磋商供应商”指符合本磋商文件的规定和要求，受邀请获得磋商文件参加磋商，并向采购代理机构提交响应文件、最后报价的供应商。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“货物”指供应商按磋商文件的规定，须向采购人提供的各种形态和种类的物品及其它有关技术资料和材料。</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 “服务”指磋商文件规定的供应商须向采购人提供的服务和应当履行的承诺和义务。</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“电子签章”指可通过电子签章软件正确读取数字证书签章信息的电子签章，电子签章包含单位电子签章和法定代表人电子签章。</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 本磋商文件各部分规定的期间以时、日、月、年计算。期间开始的时和日，不计算在期间内。</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2.8本须知中单独对货物所描述的要求，只针对涉及采购货物。</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 合格的磋商供应商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具有本项目生产、制造、供应及/或实施能力，符合、承认并承诺履行本磋商文件各项规定的国内供应商。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 磋商供应商必须是已在中国境内依法登记注册，并持有符合法律法规规定的有效证件的供应商。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磋商供应商须知前附表序号1的要求。</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本次磋商是否允许代理商参加，详见磋商供应商须知前附表序号1的规定。</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 本次磋商是否允许由两个以上供应商组成一个联合体以一个磋商供应商身份共同参加磋商，详见磋商供应商须知前附表序号1的规定。</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3.6.1 联合体各方均应当符合《政府采购法》第二十二条规定的条件，联合体各方均应按照本部分3.3条的要求提供相关材料。</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3.6.2 本项目的特殊要求规定磋商供应商特定资格条件的，联合体各方的同类资质按照资质等级较低的确定联合体资质等级。联合体各方不得再单独参加或者与其他供应商另外组成联合体参加本项目同一包的磋商。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3.6.3 联合体各方之间应当签订联合磋商协议，明确约定联合体各方承担的工作和相应的责任，并将联合磋商协议连同响应文件一并提交，联合响应协议格式见本磋商文件第八部分。</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4. 竞争性磋商费用</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磋商供应商应当承担参与本次磋商活动发生的相关费用，采购代理机构和采购人在任何情况下均无义务和责任承担这些费用。</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5. 通知</w:t>
      </w:r>
      <w:r>
        <w:rPr>
          <w:rFonts w:hint="eastAsia" w:ascii="宋体" w:hAnsi="宋体" w:eastAsia="宋体" w:cs="宋体"/>
          <w:b/>
          <w:spacing w:val="10"/>
          <w:sz w:val="24"/>
          <w:szCs w:val="24"/>
        </w:rPr>
        <w:t>的告知及获取</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5.1通知的告知</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对与本项目有关的通知，采购代理机构将通过山西政府采购平台（http://www.ccgp-shanxi.gov.cn/home.html）进行通知，不再书面进行通知。各市场参与主体因自身原因未关注到此类通知并造成损失的，责任自负。</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5.2通知的获取</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已获取了磋商文件的供应商，可在本次磋商公告刊登的媒体上查看已发布的通知。</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未获取磋商文件的潜在供应商可在本次磋商公告刊登的媒体上查看获取已发布的通知。</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因线路故障导致通知延迟获取或无法获取，采购代理机构不因此承担任何责任，有关的磋商活动可以继续有效地进行。</w:t>
      </w:r>
    </w:p>
    <w:p>
      <w:pPr>
        <w:pStyle w:val="6"/>
        <w:ind w:left="420"/>
        <w:rPr>
          <w:rFonts w:hint="eastAsia" w:ascii="宋体" w:hAnsi="宋体" w:eastAsia="宋体" w:cs="宋体"/>
        </w:rPr>
      </w:pPr>
      <w:bookmarkStart w:id="21" w:name="_Toc29485"/>
      <w:bookmarkStart w:id="22" w:name="_Toc25785"/>
      <w:r>
        <w:rPr>
          <w:rFonts w:hint="eastAsia" w:ascii="宋体" w:hAnsi="宋体" w:eastAsia="宋体" w:cs="宋体"/>
        </w:rPr>
        <w:t>二、磋商文件</w:t>
      </w:r>
      <w:bookmarkEnd w:id="21"/>
      <w:bookmarkEnd w:id="22"/>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6. 磋商文件的内容</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6.1磋商文件由下列九部分内容组成：</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第一部分 采购邀请；</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第二部分 磋商供应商须知前附表；</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第三部分 磋商供应商须知；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第四部分 采购需求； </w:t>
      </w:r>
    </w:p>
    <w:p>
      <w:pPr>
        <w:pStyle w:val="61"/>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第五部分 资格审查内容及标准；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第六部分 评定成交标准；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第七部分 合同草案；</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第八部分 响应文件内容要求及格式</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6.2 磋商文件中落实政府采购政策的相关要求详见前附表序号7的规定。</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6.3 响应人如在信用中国网（http://www.creditchina.gov.cn）存在</w:t>
      </w:r>
      <w:r>
        <w:rPr>
          <w:rFonts w:hint="eastAsia" w:cs="宋体"/>
          <w:sz w:val="24"/>
          <w:szCs w:val="24"/>
          <w:lang w:val="en-US" w:eastAsia="zh-CN"/>
        </w:rPr>
        <w:t>失信被执行人</w:t>
      </w:r>
      <w:r>
        <w:rPr>
          <w:rFonts w:hint="eastAsia" w:ascii="宋体" w:hAnsi="宋体" w:eastAsia="宋体" w:cs="宋体"/>
          <w:sz w:val="24"/>
          <w:szCs w:val="24"/>
        </w:rPr>
        <w:t>记录情况</w:t>
      </w:r>
      <w:r>
        <w:rPr>
          <w:rFonts w:hint="eastAsia" w:cs="宋体"/>
          <w:sz w:val="24"/>
          <w:szCs w:val="24"/>
          <w:lang w:val="en-US" w:eastAsia="zh-CN"/>
        </w:rPr>
        <w:t>和</w:t>
      </w:r>
      <w:r>
        <w:rPr>
          <w:rFonts w:hint="eastAsia" w:ascii="宋体" w:hAnsi="宋体" w:eastAsia="宋体" w:cs="宋体"/>
          <w:sz w:val="24"/>
          <w:szCs w:val="24"/>
        </w:rPr>
        <w:t>在中国政府采购网（http://www.ccgp.gov.cn）存在政府采购严重违法失信行为信息记录情况，且在执行期间的，对响应文件做无效响应处理。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6.4 除非特殊要求，磋商文件不单独提供项目使用地的自然环境、气候条件、公用设施情况，磋商供应商被视为熟悉上述与履行合同有关的一切情况。</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6.5 磋商文件的解释权归采购代理机构所有。当对一个问题有多种解释时以采购代理机构解释为准。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6.6 磋商文件未作须知明示，而又有法律、法规规定的，采购代理机构将依据法律法规的规定进行解释。</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7. 磋商文件的澄清和修改</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7.1采购代理机构可以对已发出的磋商文件进行必要的澄清或者修改，澄清或者修改在原公告发布媒体上发布澄清公告。澄清或者修改的内容为磋商文件的组成部分，对所有磋商供应商均具有约束作用。供应商应通过山西政府采购平台（http://www.ccgp-shanxi.gov.cn/home.html）关注此类公告，此类公告不再书面进行通知。供应商因自身原因未关注到此公告并造成损失的，责任自负。</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7.2澄清或修改的内容可能影响响应文件编制的，采购代理机构将在提交响应文件的截止时间5日前，以发布公告的形式通知所有获取到磋商文件的供应商，不足5日的，将顺延响应文件提交的截止时间。</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7.3供应商对磋商文件有疑问，应当于公告发布之日起至公告期限满 7 个工作日内在山西政府采购平台上要求澄清。采购代理机构将在规定的时间内，在财政部门指定的政府采购信息发布媒体上发布更正公告，并通知所有获取到磋商文件的潜在供应商。逾期提出采购人（采购代理机构）将不予受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7.4采购代理机构将视情况确定是否进行现场勘查或召开磋商前答疑会，详细内容见第二部分磋商供应商须知前附表序号</w:t>
      </w:r>
      <w:r>
        <w:rPr>
          <w:rFonts w:hint="eastAsia" w:ascii="宋体" w:hAnsi="宋体" w:eastAsia="宋体" w:cs="宋体"/>
          <w:sz w:val="24"/>
          <w:szCs w:val="24"/>
          <w:lang w:val="en-US" w:eastAsia="zh-CN"/>
        </w:rPr>
        <w:t>8</w:t>
      </w:r>
      <w:r>
        <w:rPr>
          <w:rFonts w:hint="eastAsia" w:ascii="宋体" w:hAnsi="宋体" w:eastAsia="宋体" w:cs="宋体"/>
          <w:sz w:val="24"/>
          <w:szCs w:val="24"/>
        </w:rPr>
        <w:t>的要求。</w:t>
      </w:r>
    </w:p>
    <w:p>
      <w:pPr>
        <w:pStyle w:val="6"/>
        <w:ind w:left="420"/>
        <w:rPr>
          <w:rFonts w:hint="eastAsia" w:ascii="宋体" w:hAnsi="宋体" w:eastAsia="宋体" w:cs="宋体"/>
        </w:rPr>
      </w:pPr>
      <w:bookmarkStart w:id="23" w:name="_Toc31164"/>
      <w:bookmarkStart w:id="24" w:name="_Toc17300"/>
      <w:r>
        <w:rPr>
          <w:rFonts w:hint="eastAsia" w:ascii="宋体" w:hAnsi="宋体" w:eastAsia="宋体" w:cs="宋体"/>
        </w:rPr>
        <w:t>三、响应文件</w:t>
      </w:r>
      <w:bookmarkEnd w:id="23"/>
      <w:bookmarkEnd w:id="24"/>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8. 响应文件的语言和计量单位</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8.1磋商供应商提交的响应文件的资格证明文件、商务技术文件（包括技术文件和资料、图纸中的说明）以及磋商供应商与采购代理机构就有关磋商的所有来往函</w:t>
      </w:r>
      <w:r>
        <w:rPr>
          <w:rFonts w:hint="eastAsia" w:ascii="宋体" w:hAnsi="宋体" w:eastAsia="宋体" w:cs="宋体"/>
          <w:bCs/>
          <w:sz w:val="24"/>
          <w:szCs w:val="24"/>
        </w:rPr>
        <w:t>电</w:t>
      </w:r>
      <w:r>
        <w:rPr>
          <w:rFonts w:hint="eastAsia" w:ascii="宋体" w:hAnsi="宋体" w:eastAsia="宋体" w:cs="宋体"/>
          <w:sz w:val="24"/>
          <w:szCs w:val="24"/>
        </w:rPr>
        <w:t>均应使用中文简体字。外文资料必须提供中文译文，并保持与原文一致，否则，产生的不利后果由磋商供应商承担。</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8.2响应文件所使用的计量单位，必须使用国家法定计量单位。</w:t>
      </w:r>
    </w:p>
    <w:p>
      <w:pPr>
        <w:pStyle w:val="61"/>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9. 响应文件的组成及相关要求</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9.1响应文件分为资格证明文件和商务、技术文件。</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9.1.1若单个序号的货物中包含多个产品的，可自行设计报价明细表，加盖电子签章后在系统内上传。</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9.1.2响应文件还须打印出纸质版响应文件，纸质响应文件份数及要求按磋商供应商须知前附表序号2的规定提交。</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9.2响应文件的编制、递交及要求按第一部分第六条规定执行。响应文件要求内容及编排顺序详见磋商供应商须知前附表序号3、序号4的要求及磋商供应商须知前附表序号7 的“政府采购相关政策要求”（若有的话）。有格式的详见本磋商文件第七部分。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9.3纸质版响应文件制作要求</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纸质响应文件应按照磋商文件所规定的内容顺序，统一编目、编页码装订（响应文件中复印件及彩色宣传资料等均须与响应文件正文一起逐页编排页码）。由于编排混乱导致响应文件被误读或难以查找，其责任应当由供应商承担。装订必须采用胶订形式，不得采用活页装订，必须编排页码。</w:t>
      </w:r>
    </w:p>
    <w:p>
      <w:pPr>
        <w:pStyle w:val="61"/>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9.4 响应保证金</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本项目是否要求响应人提交保证金，及要求供应商应提交的响应保证金金额详见供应商须知前附表序号5的相关规定。</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响应保证金按下列方式退还：</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9.4.1未成交供应商的响应保证金自成交通知书发出之日起5个工作日内退还。</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9.4.2响应保证金将退还到原缴纳</w:t>
      </w:r>
      <w:r>
        <w:rPr>
          <w:rFonts w:hint="eastAsia" w:ascii="宋体" w:hAnsi="宋体" w:eastAsia="宋体" w:cs="宋体"/>
          <w:sz w:val="24"/>
          <w:szCs w:val="24"/>
          <w:highlight w:val="none"/>
        </w:rPr>
        <w:t>账户。原缴纳账户发生</w:t>
      </w:r>
      <w:r>
        <w:rPr>
          <w:rFonts w:hint="eastAsia" w:ascii="宋体" w:hAnsi="宋体" w:eastAsia="宋体" w:cs="宋体"/>
          <w:sz w:val="24"/>
          <w:szCs w:val="24"/>
        </w:rPr>
        <w:t>变更的，供应商需向采购代理机构提交书面情况说明和银行缴纳回执单。</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9.4.3响应有效期内供应商撤销响应文件的，采购代理机构不退还响应保证金。</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9.5 磋商报价</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9.5.1 所有的磋商报价均以人民币元为计算单位。</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9.5.2 磋商供应商提交的响应文件中，要填报“报价一览表”（格式见第八部分），应</w:t>
      </w:r>
      <w:r>
        <w:rPr>
          <w:rFonts w:hint="eastAsia" w:ascii="宋体" w:hAnsi="宋体" w:eastAsia="宋体" w:cs="宋体"/>
          <w:bCs/>
          <w:sz w:val="24"/>
          <w:szCs w:val="24"/>
        </w:rPr>
        <w:t>提供货物/服务的单价</w:t>
      </w:r>
      <w:r>
        <w:rPr>
          <w:rFonts w:hint="eastAsia" w:ascii="宋体" w:hAnsi="宋体" w:eastAsia="宋体" w:cs="宋体"/>
          <w:sz w:val="24"/>
          <w:szCs w:val="24"/>
        </w:rPr>
        <w:t>（包括货物报价、装箱、包装、包装物料、送货、安装调试费、保险费用及其他应有的费用）、总价及其他事项，作为本次磋商的第一轮报价。</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9.5.3 磋商供应商响应多包的，响应文件应对每包分别填报“报价一览表”。</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9.5.4 其他轮次的报价均被视为已经包含了但并不限于各项购买货物/服务及其运送、安装、调试、验收、保险和相关服务等的费用。</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9.5.5 磋商供应商报出的最后报价为货物/服务全部完成交付的最终价格。</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9.5.6 任何超出磋商文件要求而额外赠送的货物、服务等其他形式的优惠，在评定时将不作为价格折算的必备条件。</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9.5.7项目实施过程中需要主要辅材的项目，磋商供应商自行设计表格，填写备品、备件清单或主要辅材清单，注明品牌、型号、产地、单价、数量等内容。</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10. 响应文件填写说明</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磋商供应商应详细阅读磋商文件的全部内容，按照磋商文件中的要求提供响应文件，并保证所提供的全部资料的真实性，对磋商文件中的内容做出实质性和完整性的响应，否则，磋商供应商须自行承担由此引起的风险和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磋商文件有固定格式要求的须按第八部分提供的统一格式逐项填写；无相应内容可填的项填写“无”、“未测试”、“没有相应指标”、 “/”等明确的回答。</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10.3 报价一览表应按磋商文件提供的格式统一填写，不得自行增减内容。</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10.4 磋商供应商必须保证响应文件所提供的全部资料真实可靠，并接受磋商小组对其中任何资料进一步审查的要求，且承担相应的法律责任。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10.5因响应文件字迹潦草、提交资料不清晰或表达不清楚所引起的不利后果由供应商承担。</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11. 响应文件的有效期</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本项目响应文件的有效期详见磋商供应商须知前附表序号6的规定。</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12. 响应文件的签署</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组成响应文件的各种文件均应遵守本条规定。</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 磋商供应商在响应文件及相关文件的签订、履行、通知等事项的书面文件中的“盖章”、“印章”、“公章”等处均仅指与当事人名称全称相一致的标准公章的电子签章，不得使用其它（如带有“专用章”等字样）印章。</w:t>
      </w:r>
    </w:p>
    <w:p>
      <w:pPr>
        <w:spacing w:line="360" w:lineRule="auto"/>
        <w:ind w:firstLine="482" w:firstLineChars="200"/>
        <w:rPr>
          <w:rFonts w:hint="eastAsia" w:ascii="宋体" w:hAnsi="宋体" w:eastAsia="宋体" w:cs="宋体"/>
          <w:b/>
          <w:bCs/>
          <w:sz w:val="24"/>
          <w:szCs w:val="24"/>
        </w:rPr>
      </w:pPr>
    </w:p>
    <w:p>
      <w:pPr>
        <w:pStyle w:val="6"/>
        <w:ind w:left="420"/>
        <w:rPr>
          <w:rFonts w:hint="eastAsia" w:ascii="宋体" w:hAnsi="宋体" w:eastAsia="宋体" w:cs="宋体"/>
        </w:rPr>
      </w:pPr>
      <w:bookmarkStart w:id="25" w:name="_Toc16986"/>
      <w:bookmarkStart w:id="26" w:name="_Toc4345"/>
      <w:r>
        <w:rPr>
          <w:rFonts w:hint="eastAsia" w:ascii="宋体" w:hAnsi="宋体" w:eastAsia="宋体" w:cs="宋体"/>
        </w:rPr>
        <w:t>四、响应文件的递交</w:t>
      </w:r>
      <w:bookmarkEnd w:id="25"/>
      <w:bookmarkEnd w:id="26"/>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13. 响应文件的密封及标记</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 磋商供应商须将纸质版响应文件及磋商供应商认为有必要提交的其他资料密封提交。封皮上须写明项目编号、项目名称、磋商供应商全称，注明“密封”字样并加盖磋商供应商公章。</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14. 提交响应文件截止时间</w:t>
      </w:r>
    </w:p>
    <w:p>
      <w:pPr>
        <w:pStyle w:val="61"/>
        <w:snapToGrid w:val="0"/>
        <w:spacing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14.1</w:t>
      </w:r>
      <w:r>
        <w:rPr>
          <w:rFonts w:hint="eastAsia" w:ascii="宋体" w:hAnsi="宋体" w:eastAsia="宋体" w:cs="宋体"/>
          <w:sz w:val="24"/>
          <w:szCs w:val="24"/>
        </w:rPr>
        <w:t>纸质响应文件须在纸质响应文件递交截止时间之前密封递交。磋商供应商在规定时间未解密电子响应文件或未递交纸质响应文件的，磋商无效。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采购代理机构根据本须知的规定，通过修改磋商文件或自行决定延长首次响应文件截止日期的，采购人和磋商供应商受提交截止日期制约的所有权利和义务均延长至新的截止日期。</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15．响应文件的补充、修改和撤回</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15.1</w:t>
      </w:r>
      <w:r>
        <w:rPr>
          <w:rFonts w:hint="eastAsia" w:ascii="宋体" w:hAnsi="宋体" w:eastAsia="宋体" w:cs="宋体"/>
          <w:sz w:val="24"/>
          <w:szCs w:val="24"/>
        </w:rPr>
        <w:t>磋商供应商</w:t>
      </w:r>
      <w:r>
        <w:rPr>
          <w:rFonts w:hint="eastAsia" w:ascii="宋体" w:hAnsi="宋体" w:eastAsia="宋体" w:cs="宋体"/>
          <w:kern w:val="0"/>
          <w:sz w:val="24"/>
          <w:szCs w:val="24"/>
        </w:rPr>
        <w:t>在解密截止时间前，可对</w:t>
      </w:r>
      <w:r>
        <w:rPr>
          <w:rFonts w:hint="eastAsia" w:ascii="宋体" w:hAnsi="宋体" w:eastAsia="宋体" w:cs="宋体"/>
          <w:sz w:val="24"/>
          <w:szCs w:val="24"/>
        </w:rPr>
        <w:t>响应文件</w:t>
      </w:r>
      <w:r>
        <w:rPr>
          <w:rFonts w:hint="eastAsia" w:ascii="宋体" w:hAnsi="宋体" w:eastAsia="宋体" w:cs="宋体"/>
          <w:kern w:val="0"/>
          <w:sz w:val="24"/>
          <w:szCs w:val="24"/>
        </w:rPr>
        <w:t>进行补充、修改或者撤回。</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15.2</w:t>
      </w:r>
      <w:r>
        <w:rPr>
          <w:rFonts w:hint="eastAsia" w:ascii="宋体" w:hAnsi="宋体" w:eastAsia="宋体" w:cs="宋体"/>
          <w:sz w:val="24"/>
          <w:szCs w:val="24"/>
        </w:rPr>
        <w:t>磋商供应商</w:t>
      </w:r>
      <w:r>
        <w:rPr>
          <w:rFonts w:hint="eastAsia" w:ascii="宋体" w:hAnsi="宋体" w:eastAsia="宋体" w:cs="宋体"/>
          <w:kern w:val="0"/>
          <w:sz w:val="24"/>
          <w:szCs w:val="24"/>
        </w:rPr>
        <w:t>对电子</w:t>
      </w:r>
      <w:r>
        <w:rPr>
          <w:rFonts w:hint="eastAsia" w:ascii="宋体" w:hAnsi="宋体" w:eastAsia="宋体" w:cs="宋体"/>
          <w:sz w:val="24"/>
          <w:szCs w:val="24"/>
        </w:rPr>
        <w:t>响应</w:t>
      </w:r>
      <w:r>
        <w:rPr>
          <w:rFonts w:hint="eastAsia" w:ascii="宋体" w:hAnsi="宋体" w:eastAsia="宋体" w:cs="宋体"/>
          <w:kern w:val="0"/>
          <w:sz w:val="24"/>
          <w:szCs w:val="24"/>
        </w:rPr>
        <w:t>文件的补充、修改应在电子</w:t>
      </w:r>
      <w:r>
        <w:rPr>
          <w:rFonts w:hint="eastAsia" w:ascii="宋体" w:hAnsi="宋体" w:eastAsia="宋体" w:cs="宋体"/>
          <w:sz w:val="24"/>
          <w:szCs w:val="24"/>
        </w:rPr>
        <w:t>响应</w:t>
      </w:r>
      <w:r>
        <w:rPr>
          <w:rFonts w:hint="eastAsia" w:ascii="宋体" w:hAnsi="宋体" w:eastAsia="宋体" w:cs="宋体"/>
          <w:kern w:val="0"/>
          <w:sz w:val="24"/>
          <w:szCs w:val="24"/>
        </w:rPr>
        <w:t>文件上进行，修改完成后重新上传。如无法及时对递交的纸质</w:t>
      </w:r>
      <w:r>
        <w:rPr>
          <w:rFonts w:hint="eastAsia" w:ascii="宋体" w:hAnsi="宋体" w:eastAsia="宋体" w:cs="宋体"/>
          <w:sz w:val="24"/>
          <w:szCs w:val="24"/>
        </w:rPr>
        <w:t>响应</w:t>
      </w:r>
      <w:r>
        <w:rPr>
          <w:rFonts w:hint="eastAsia" w:ascii="宋体" w:hAnsi="宋体" w:eastAsia="宋体" w:cs="宋体"/>
          <w:kern w:val="0"/>
          <w:sz w:val="24"/>
          <w:szCs w:val="24"/>
        </w:rPr>
        <w:t>文件内容进行补充、修改的应将补充、修改的内容按照</w:t>
      </w:r>
      <w:r>
        <w:rPr>
          <w:rFonts w:hint="eastAsia" w:ascii="宋体" w:hAnsi="宋体" w:eastAsia="宋体" w:cs="宋体"/>
          <w:sz w:val="24"/>
          <w:szCs w:val="24"/>
        </w:rPr>
        <w:t>磋商</w:t>
      </w:r>
      <w:r>
        <w:rPr>
          <w:rFonts w:hint="eastAsia" w:ascii="宋体" w:hAnsi="宋体" w:eastAsia="宋体" w:cs="宋体"/>
          <w:kern w:val="0"/>
          <w:sz w:val="24"/>
          <w:szCs w:val="24"/>
        </w:rPr>
        <w:t>文件的要求签署、盖章，密封后书面递交采购代理机构，作为纸质</w:t>
      </w:r>
      <w:r>
        <w:rPr>
          <w:rFonts w:hint="eastAsia" w:ascii="宋体" w:hAnsi="宋体" w:eastAsia="宋体" w:cs="宋体"/>
          <w:sz w:val="24"/>
          <w:szCs w:val="24"/>
        </w:rPr>
        <w:t>响应</w:t>
      </w:r>
      <w:r>
        <w:rPr>
          <w:rFonts w:hint="eastAsia" w:ascii="宋体" w:hAnsi="宋体" w:eastAsia="宋体" w:cs="宋体"/>
          <w:kern w:val="0"/>
          <w:sz w:val="24"/>
          <w:szCs w:val="24"/>
        </w:rPr>
        <w:t>文件的组成部分。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15.</w:t>
      </w:r>
      <w:r>
        <w:rPr>
          <w:rFonts w:hint="eastAsia" w:ascii="宋体" w:hAnsi="宋体" w:eastAsia="宋体" w:cs="宋体"/>
          <w:sz w:val="24"/>
          <w:szCs w:val="24"/>
        </w:rPr>
        <w:t>3</w:t>
      </w:r>
      <w:r>
        <w:rPr>
          <w:rFonts w:hint="eastAsia" w:ascii="宋体" w:hAnsi="宋体" w:eastAsia="宋体" w:cs="宋体"/>
          <w:kern w:val="0"/>
          <w:sz w:val="24"/>
          <w:szCs w:val="24"/>
        </w:rPr>
        <w:t>在</w:t>
      </w:r>
      <w:r>
        <w:rPr>
          <w:rFonts w:hint="eastAsia" w:ascii="宋体" w:hAnsi="宋体" w:eastAsia="宋体" w:cs="宋体"/>
          <w:sz w:val="24"/>
          <w:szCs w:val="24"/>
        </w:rPr>
        <w:t>磋商</w:t>
      </w:r>
      <w:r>
        <w:rPr>
          <w:rFonts w:hint="eastAsia" w:ascii="宋体" w:hAnsi="宋体" w:eastAsia="宋体" w:cs="宋体"/>
          <w:kern w:val="0"/>
          <w:sz w:val="24"/>
          <w:szCs w:val="24"/>
        </w:rPr>
        <w:t>文件要求的</w:t>
      </w:r>
      <w:r>
        <w:rPr>
          <w:rFonts w:hint="eastAsia" w:ascii="宋体" w:hAnsi="宋体" w:eastAsia="宋体" w:cs="宋体"/>
          <w:sz w:val="24"/>
          <w:szCs w:val="24"/>
        </w:rPr>
        <w:t>响应</w:t>
      </w:r>
      <w:r>
        <w:rPr>
          <w:rFonts w:hint="eastAsia" w:ascii="宋体" w:hAnsi="宋体" w:eastAsia="宋体" w:cs="宋体"/>
          <w:kern w:val="0"/>
          <w:sz w:val="24"/>
          <w:szCs w:val="24"/>
        </w:rPr>
        <w:t>文件提交截止时间之后，</w:t>
      </w:r>
      <w:r>
        <w:rPr>
          <w:rFonts w:hint="eastAsia" w:ascii="宋体" w:hAnsi="宋体" w:eastAsia="宋体" w:cs="宋体"/>
          <w:sz w:val="24"/>
          <w:szCs w:val="24"/>
        </w:rPr>
        <w:t>磋商供应商</w:t>
      </w:r>
      <w:r>
        <w:rPr>
          <w:rFonts w:hint="eastAsia" w:ascii="宋体" w:hAnsi="宋体" w:eastAsia="宋体" w:cs="宋体"/>
          <w:kern w:val="0"/>
          <w:sz w:val="24"/>
          <w:szCs w:val="24"/>
        </w:rPr>
        <w:t>不得对其</w:t>
      </w:r>
      <w:r>
        <w:rPr>
          <w:rFonts w:hint="eastAsia" w:ascii="宋体" w:hAnsi="宋体" w:eastAsia="宋体" w:cs="宋体"/>
          <w:sz w:val="24"/>
          <w:szCs w:val="24"/>
        </w:rPr>
        <w:t>响应</w:t>
      </w:r>
      <w:r>
        <w:rPr>
          <w:rFonts w:hint="eastAsia" w:ascii="宋体" w:hAnsi="宋体" w:eastAsia="宋体" w:cs="宋体"/>
          <w:kern w:val="0"/>
          <w:sz w:val="24"/>
          <w:szCs w:val="24"/>
        </w:rPr>
        <w:t>文件进行补充、修改或撤回。</w:t>
      </w:r>
    </w:p>
    <w:p>
      <w:pPr>
        <w:pStyle w:val="23"/>
        <w:spacing w:line="360" w:lineRule="auto"/>
        <w:ind w:firstLine="480" w:firstLineChars="200"/>
        <w:rPr>
          <w:rFonts w:hint="eastAsia" w:ascii="宋体" w:hAnsi="宋体" w:eastAsia="宋体" w:cs="宋体"/>
          <w:sz w:val="24"/>
          <w:szCs w:val="24"/>
        </w:rPr>
      </w:pPr>
    </w:p>
    <w:p>
      <w:pPr>
        <w:pStyle w:val="6"/>
        <w:ind w:left="420"/>
        <w:rPr>
          <w:rFonts w:hint="eastAsia" w:ascii="宋体" w:hAnsi="宋体" w:eastAsia="宋体" w:cs="宋体"/>
        </w:rPr>
      </w:pPr>
      <w:bookmarkStart w:id="27" w:name="_Toc21646"/>
      <w:bookmarkStart w:id="28" w:name="_Toc19801"/>
      <w:r>
        <w:rPr>
          <w:rFonts w:hint="eastAsia" w:ascii="宋体" w:hAnsi="宋体" w:eastAsia="宋体" w:cs="宋体"/>
        </w:rPr>
        <w:t>五、磋商采购程序</w:t>
      </w:r>
      <w:bookmarkEnd w:id="27"/>
      <w:bookmarkEnd w:id="28"/>
    </w:p>
    <w:p>
      <w:pPr>
        <w:pStyle w:val="61"/>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16 成立磋商小组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16.1 采购代理机构根据政府采购有关法律法规的规定，依法组建成立磋商小组，磋商小组由采购人的代表和有关专家共三人以上的单数组成，其中专家的人数不得少于成员总数的三分之二。 </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磋商小组负责完成具体的磋商评审事务</w:t>
      </w:r>
      <w:r>
        <w:rPr>
          <w:rFonts w:hint="eastAsia" w:ascii="宋体" w:hAnsi="宋体" w:eastAsia="宋体" w:cs="宋体"/>
          <w:b/>
          <w:sz w:val="24"/>
          <w:szCs w:val="24"/>
        </w:rPr>
        <w:t>，</w:t>
      </w:r>
      <w:r>
        <w:rPr>
          <w:rFonts w:hint="eastAsia" w:ascii="宋体" w:hAnsi="宋体" w:eastAsia="宋体" w:cs="宋体"/>
          <w:sz w:val="24"/>
          <w:szCs w:val="24"/>
        </w:rPr>
        <w:t>提出经磋商小组签字的书面磋商评审报告。</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16.3 磋商活动的组织工作由采购代理机构负责。 </w:t>
      </w:r>
    </w:p>
    <w:p>
      <w:pPr>
        <w:pStyle w:val="61"/>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17.正常情况下，采购代理机构依据电子响应文件进行磋商工作。如因不可抗因素导致业务执行系统无法正常运行时，将依据纸质响应文件进行磋商工作。</w:t>
      </w:r>
    </w:p>
    <w:p>
      <w:pPr>
        <w:pStyle w:val="61"/>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18. 响应文件审查</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18.1磋商小组进行资格性检查及有效性、完整性、响应程度审查，应严格遵循本文件第五部分评定和成交标准中的相关规定。</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18.2 资格性检查，磋商小组对每个磋商供应商提交的响应文件中的资格证明等进行审查，以确定参加磋商的供应商是否具备磋商资格。</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18.3 </w:t>
      </w:r>
      <w:r>
        <w:rPr>
          <w:rFonts w:hint="eastAsia" w:ascii="宋体" w:hAnsi="宋体" w:eastAsia="宋体" w:cs="宋体"/>
          <w:bCs/>
          <w:sz w:val="24"/>
          <w:szCs w:val="24"/>
        </w:rPr>
        <w:t>有效性、完整性和响应程度审查，</w:t>
      </w:r>
      <w:r>
        <w:rPr>
          <w:rFonts w:hint="eastAsia" w:ascii="宋体" w:hAnsi="宋体" w:eastAsia="宋体" w:cs="宋体"/>
          <w:sz w:val="24"/>
          <w:szCs w:val="24"/>
        </w:rPr>
        <w:t>由磋商小组依据磋商文件的规定进行审查，以确定响应文件是否对磋商文件的实质性要求作出响应。</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pStyle w:val="61"/>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18.4评审中遵循的原则</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18.4.1审查中，磋商供应商存在下列情况之一的，磋商无效： </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A、未按磋商文件的规定提交响应保证金的；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B、响应文件未按磋商文件要求签署、盖章的；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C、不具备磋商文件规定的资格要求的；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D、报价超过磋商文件规定预算金额或者最高限价的；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E、响应文件含有采购人不能接受的附加条件的；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F、法律、法规和磋商文件规定的其他无效情形的。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18.4.2在磋商过程中发现磋商有下列情形的，磋商小组应认定其磋商无效，并书面报告本级财政部门： </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A、有恶意串通的；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B、有妨碍其他磋商供应商的竞争行为的；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C、有损害采购人或者其他磋商供应商的合法权益的。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18.4.3磋商供应商有下列情形之一的，视为串通行为，其磋商无效：</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A、不同磋商供应商的响应文件由同一单位或者个人编制，或上传电子响应文件的IP地址一致的。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B、不同磋商供应商委托同一单位或者个人办理磋商事宜；</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C、不同磋商供应商的响应文件载明的项目管理成员或者联系人为同一人；</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D、不同磋商供应商的响应文件异常一致或者报价呈规律性差异；</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E、不同磋商供应商的响应文件相互混装；</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F、不同磋商供应商的保证金从同一单位或者个人的账户转出。</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18.4.4审查中，对明显的文字和计算错误按下述原则处理： </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A、如果正本与副本不一致，以正本为准；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B、报价一览表内容与响应文件中相应内容不一致的,以报价一览表为准；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C、大写金额和小写金额不一致的，以大写金额为准；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D、单价金额小数点或百分比有明显错误的，以报价一览表的总价为准，并修改单价；</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E、总价金额与按单价汇总金额不一致的，以单价金额计算结果为准。 </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18.5未通过资格性检查或未实质性响应磋商文件</w:t>
      </w:r>
      <w:r>
        <w:rPr>
          <w:rFonts w:hint="eastAsia" w:ascii="宋体" w:hAnsi="宋体" w:eastAsia="宋体" w:cs="宋体"/>
          <w:bCs/>
          <w:sz w:val="24"/>
          <w:szCs w:val="24"/>
        </w:rPr>
        <w:t>规定要求的响应文件按无效处理，</w:t>
      </w:r>
      <w:r>
        <w:rPr>
          <w:rFonts w:hint="eastAsia" w:ascii="宋体" w:hAnsi="宋体" w:eastAsia="宋体" w:cs="宋体"/>
          <w:sz w:val="24"/>
          <w:szCs w:val="24"/>
        </w:rPr>
        <w:t>磋商小组须及时告知有关磋商供应商。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18.6实质性响应的响应文件是指与磋商文件的条款、条件和规格相符，根据本磋商文件规定的审查内容，经磋商小组认定的没有重大偏离或保留的响应文件。</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18.7 重大偏离或保留系指磋商供应商提供的货物/服务的主要技术性能、数量、服务方案和交货(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61"/>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rPr>
        <w:t>磋商</w:t>
      </w:r>
    </w:p>
    <w:p>
      <w:pPr>
        <w:pStyle w:val="61"/>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19.1 </w:t>
      </w:r>
      <w:r>
        <w:rPr>
          <w:rFonts w:hint="eastAsia" w:ascii="宋体" w:hAnsi="宋体" w:eastAsia="宋体" w:cs="宋体"/>
          <w:sz w:val="24"/>
          <w:szCs w:val="24"/>
        </w:rPr>
        <w:t>磋商小组所有成员集中与单一磋商供应商分别进行磋商，并给予所有参加磋商的磋商供应商平等的磋商机会。</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 磋商的顺序，按照随机的顺序进行。</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19.3 磋商内容包括货物/服务的技术配置、售后服务、服务方案、价格等采购需求以及磋商小组认为有必要明确的其它问题。</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磋商时，磋商小组根据情况，可以要求或同意磋商供应商就某些磋商事项作出明确的承诺。</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19.4磋商供应商须知前附表序号9 </w:t>
      </w:r>
      <w:r>
        <w:rPr>
          <w:rFonts w:hint="eastAsia" w:ascii="宋体" w:hAnsi="宋体" w:eastAsia="宋体" w:cs="宋体"/>
          <w:sz w:val="24"/>
          <w:szCs w:val="24"/>
        </w:rPr>
        <w:t>明确本项目的技术要求、服务要求、合同商务要求、合同文本在磋商过程中不作任何实质性变动，磋商供应商的响应文件全部实质性响应了磋商文件的要求，在满足3家以上磋商供应商的竞争要求的情况下，进入最后报价。</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 xml:space="preserve">19.5磋商供应商须知前附表序号9 </w:t>
      </w:r>
      <w:r>
        <w:rPr>
          <w:rFonts w:hint="eastAsia" w:ascii="宋体" w:hAnsi="宋体" w:eastAsia="宋体" w:cs="宋体"/>
          <w:sz w:val="24"/>
          <w:szCs w:val="24"/>
        </w:rPr>
        <w:t>明确了在磋商过程中可能进行实质性变动本项目的技术要求、服务要求、合同商务要求、合同文本的内容，但在磋商过程中，磋商小组根据磋商情况，不进行任何实质性变动，磋商供应商的响应文件全部实质性响应了磋商文件的要求，在满足3家以上磋商供应商的竞争要求的情况下，进入最后报价。</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19.6</w:t>
      </w:r>
      <w:r>
        <w:rPr>
          <w:rFonts w:hint="eastAsia" w:ascii="宋体" w:hAnsi="宋体" w:eastAsia="宋体" w:cs="宋体"/>
          <w:bCs/>
          <w:sz w:val="24"/>
          <w:szCs w:val="24"/>
        </w:rPr>
        <w:t xml:space="preserve">磋商供应商须知前附表序号9 </w:t>
      </w:r>
      <w:r>
        <w:rPr>
          <w:rFonts w:hint="eastAsia" w:ascii="宋体" w:hAnsi="宋体" w:eastAsia="宋体" w:cs="宋体"/>
          <w:sz w:val="24"/>
          <w:szCs w:val="24"/>
        </w:rPr>
        <w:t>明确了在磋商过程中可能进行实质性变动本项目的技术要求或服务要求或合同商务条款的内容，在磋商过程中，磋商小组根据磋商情况，按照明确的可能实质性变动的内容，经采购人代表确认后，进行实质性变动，采购代理机构将及时通知所有参加磋商的磋商供应商，使每个磋商供应商均同时获得磋商文件的变动情况，磋商供应商接到该通知要按照采购代理机构要求加盖法人电子签章进行确认。</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19.7 对磋商文件作出的实质性变动的内容是磋商文件的有效组成部分，该通知由磋商小组成员共同签字。</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19.8  发生实质性变动时，磋商供应商应当按照磋商文件的变动情况和磋商小组的要求重新提交响应文件。重新提交响应文件包括现场提交响应文件补充文件的形式和另行约定时间提交响应文件的形式。</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19.8.1 如发生的实质性变动内容较简单，参加磋商的供应商能够做出承诺，并且经磋商小组认可，可以以提交响应文件补充文件的形式提交响应文件。</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19.8.2 如发生的实质性变动内容较复杂，参加磋商的供应商在磋商现场不能马上做出承诺，而必须给予一定的时间根据实质性变动的内容重新制作电子响应文件，则在磋商现场由磋商小组另行约定时间提交响应文件。</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19.9 磋商供应商按照磋商文件变动情况和磋商小组要求重新提交的响应文件，除要对磋商文件变动的内容做出实质性响应外，还要做出新的一轮报价。</w:t>
      </w:r>
    </w:p>
    <w:p>
      <w:pPr>
        <w:pStyle w:val="61"/>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19.10</w:t>
      </w:r>
      <w:r>
        <w:rPr>
          <w:rFonts w:hint="eastAsia" w:ascii="宋体" w:hAnsi="宋体" w:eastAsia="宋体" w:cs="宋体"/>
          <w:bCs/>
          <w:sz w:val="24"/>
          <w:szCs w:val="24"/>
        </w:rPr>
        <w:t>磋商小组应对磋商供应商重新提交的响应文件</w:t>
      </w:r>
      <w:r>
        <w:rPr>
          <w:rFonts w:hint="eastAsia" w:ascii="宋体" w:hAnsi="宋体" w:eastAsia="宋体" w:cs="宋体"/>
          <w:sz w:val="24"/>
          <w:szCs w:val="24"/>
        </w:rPr>
        <w:t>进行</w:t>
      </w:r>
      <w:r>
        <w:rPr>
          <w:rFonts w:hint="eastAsia" w:ascii="宋体" w:hAnsi="宋体" w:eastAsia="宋体" w:cs="宋体"/>
          <w:bCs/>
          <w:sz w:val="24"/>
          <w:szCs w:val="24"/>
        </w:rPr>
        <w:t>审查。</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19.11</w:t>
      </w:r>
      <w:r>
        <w:rPr>
          <w:rFonts w:hint="eastAsia" w:ascii="宋体" w:hAnsi="宋体" w:eastAsia="宋体" w:cs="宋体"/>
          <w:sz w:val="24"/>
          <w:szCs w:val="24"/>
        </w:rPr>
        <w:t>根据磋商文件（包括实质性变动的内容）和磋商供应商重新提交的响应文件，磋商小组所有成员集中与单一磋商供应商分别进行新一轮的磋商。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19.12 经磋商、审查，磋商供应商重新提交的响应文件全部实质性响应了磋商文件的要求，在满足3家以上磋商供应商的竞争要求的情况下，进入最后报价。</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19.13 磋商过程中，磋商供应商的所有承诺、书面补充文件以及重新提交的响应文件，需要以加盖法人签章的形式进行提交。</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19.14 已提交响应文件的供应商，在提交最后报价之前，可以根据磋商情况退出磋商。采购代理机构将在本项目成交通知书发出后5个工作日内退还退出磋商的磋商供应商的保证金。</w:t>
      </w:r>
    </w:p>
    <w:p>
      <w:pPr>
        <w:pStyle w:val="61"/>
        <w:snapToGrid w:val="0"/>
        <w:spacing w:line="360" w:lineRule="auto"/>
        <w:ind w:firstLine="482" w:firstLineChars="200"/>
        <w:rPr>
          <w:rFonts w:hint="eastAsia" w:ascii="宋体" w:hAnsi="宋体" w:eastAsia="宋体" w:cs="宋体"/>
          <w:b/>
          <w:i/>
          <w:sz w:val="24"/>
          <w:szCs w:val="24"/>
        </w:rPr>
      </w:pPr>
      <w:r>
        <w:rPr>
          <w:rFonts w:hint="eastAsia" w:ascii="宋体" w:hAnsi="宋体" w:eastAsia="宋体" w:cs="宋体"/>
          <w:b/>
          <w:sz w:val="24"/>
          <w:szCs w:val="24"/>
        </w:rPr>
        <w:t>20. 最后报价</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20.1磋商文件对技术、服务要求已详细列明，磋商结束后，所有继续参加磋商的供应商（不得少于3家）要按照磋商小组的要求在规定时间内提交最后报价。</w:t>
      </w:r>
    </w:p>
    <w:p>
      <w:pPr>
        <w:pStyle w:val="61"/>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 xml:space="preserve">20.2 </w:t>
      </w:r>
      <w:r>
        <w:rPr>
          <w:rFonts w:hint="eastAsia" w:ascii="宋体" w:hAnsi="宋体" w:eastAsia="宋体" w:cs="宋体"/>
          <w:bCs/>
          <w:sz w:val="24"/>
          <w:szCs w:val="24"/>
        </w:rPr>
        <w:t>磋商文件对技术、服务要求没有详细列明，需经磋商由供应商提供最终设计方案或解决方案的，磋商结束后，磋商小组将按照少数服从多数的原则投票推荐3家以上磋商供应商的设计方案或者解决方案，并要求其在规定时间内提交最后报价。</w:t>
      </w:r>
    </w:p>
    <w:p>
      <w:pPr>
        <w:pStyle w:val="61"/>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21.综合评审</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经磋商确定最终采购需求和提交最后报价的供应商后，由磋商小组采用综合评分法对提交最后报价的磋商供应商的响应文件和最后报价进行综合评分。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 采用综合评分法评审，应按照磋商文件</w:t>
      </w:r>
      <w:r>
        <w:rPr>
          <w:rFonts w:hint="eastAsia" w:ascii="宋体" w:hAnsi="宋体" w:eastAsia="宋体" w:cs="宋体"/>
          <w:bCs/>
          <w:sz w:val="24"/>
          <w:szCs w:val="24"/>
        </w:rPr>
        <w:t>第六部分评定和成交标准</w:t>
      </w:r>
      <w:r>
        <w:rPr>
          <w:rFonts w:hint="eastAsia" w:ascii="宋体" w:hAnsi="宋体" w:eastAsia="宋体" w:cs="宋体"/>
          <w:sz w:val="24"/>
          <w:szCs w:val="24"/>
        </w:rPr>
        <w:t>中规定的综合评分法评分细则进行。</w:t>
      </w:r>
    </w:p>
    <w:p>
      <w:pPr>
        <w:pStyle w:val="61"/>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22. 推荐成交候选供应商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22.1 磋商小组根据</w:t>
      </w:r>
      <w:r>
        <w:rPr>
          <w:rFonts w:hint="eastAsia" w:ascii="宋体" w:hAnsi="宋体" w:eastAsia="宋体" w:cs="宋体"/>
          <w:bCs/>
          <w:sz w:val="24"/>
          <w:szCs w:val="24"/>
        </w:rPr>
        <w:t>综合评分情况，</w:t>
      </w:r>
      <w:r>
        <w:rPr>
          <w:rFonts w:hint="eastAsia" w:ascii="宋体" w:hAnsi="宋体" w:eastAsia="宋体" w:cs="宋体"/>
          <w:sz w:val="24"/>
          <w:szCs w:val="24"/>
        </w:rPr>
        <w:t>按评审得分由高到低顺序推荐成交候选供应商，得分相同的，按最后报价由低到高顺序排列。得分和最后报价均相同的，按技术指标优劣顺序排列。</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 磋商小组组长根据磋商过程中形成的原始记录和评审结果编写评审报告，由磋商小组全体人员签字认可。</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 xml:space="preserve">23. 评审复核    </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23.1评审结果汇总完成后，除下列情形外，任何人不得修改评审结果：</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A、分值汇总计算错误的；</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B、分项评分超出评分标准范围的；</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C、磋商小组对客观评审因素评分不一致的；</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D、经磋商小组认定评分畸高、畸低的；</w:t>
      </w:r>
    </w:p>
    <w:p>
      <w:pPr>
        <w:pStyle w:val="61"/>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23.2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财政部门。</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24. 磋商保密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24.1采购人、采购代理机构要采取必要措施，保证磋商在严格保密的情况下进行。除采购人代表、磋商现场组织人员外，采购人的其他工作人员以及与磋商工作无关的人员不得进入磋商现场。</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24.2有关人员对磋商情况以及在磋商过程中获悉的国家秘密、商业秘密负有保密责任；任何人不得透露与磋商有关的其他磋商供应商的技术资料、价格和其他信息。</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24.3 磋商结束后，参与评审磋商的所有人员不得带走磋商现场的任何资料。</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25. 关于磋商供应商瑕疵滞后发现的处理规则</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论基于何种原因，各项本应作拒绝或无效处理的情形，即便未被及时发现而使该磋商供应商进入初审、磋商或其它后续程序的，包括已经签约的情形，一旦被发现存在上述情形，导致此前评议结果被取消，其相关的一切损失均由该磋商供应商承担。</w:t>
      </w:r>
    </w:p>
    <w:p>
      <w:pPr>
        <w:pStyle w:val="61"/>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26. 采购项目终止</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26.1 出现下列情形之一的，终止本次磋商活动：</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A、符合专业条件的磋商供应商或者对磋商文件作实质响应的供应商数量不足3家的；</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B、磋商供应商的报价均超过采购预算或最高限价的；</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C、出现影响采购公正的违法、违规行为的；</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D、因重大变故，采购任务取消的。</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26.2 项目终止磋商后，磋商小组应做出书面报告，采购代理机构将在财政部门指定的媒体上发布项目终止公告。</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26.3 如本项目属于市场竞争不充分的科研项目，以及需要扶持的科技成果转化项目，符合竞争要求的提交最后报价的磋商供应商可以是2家，而不被终止。</w:t>
      </w:r>
    </w:p>
    <w:p>
      <w:pPr>
        <w:pStyle w:val="6"/>
        <w:ind w:left="420"/>
        <w:rPr>
          <w:rFonts w:hint="eastAsia" w:ascii="宋体" w:hAnsi="宋体" w:eastAsia="宋体" w:cs="宋体"/>
        </w:rPr>
      </w:pPr>
      <w:bookmarkStart w:id="29" w:name="_Toc17216"/>
      <w:bookmarkStart w:id="30" w:name="_Toc5880"/>
      <w:r>
        <w:rPr>
          <w:rFonts w:hint="eastAsia" w:ascii="宋体" w:hAnsi="宋体" w:eastAsia="宋体" w:cs="宋体"/>
        </w:rPr>
        <w:t>六、签订合同</w:t>
      </w:r>
      <w:bookmarkEnd w:id="29"/>
      <w:bookmarkEnd w:id="30"/>
    </w:p>
    <w:p>
      <w:pPr>
        <w:pStyle w:val="61"/>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27．签订合同</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27.1成交供应商确定后，采购代理机构将在刊登本次磋商公告的媒体上发布成交公告，并向成交供应商发出成交通知书，但该成交结果的有效性不依赖于未成交的磋商供应商是否知道成交结果。成交通知书对采购人和成交供应商具有同等法律效力。成交通知书发出以后，采购人改变成交结果或者成交供应商放弃成交，应当承担相应的法律责任。采购人应当自成交通知书发出之日起30日内与成交供应商签订书面合同。</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27.2 成交供应商应按照磋商文件、响应文件及磋商过程中的有关澄清、说明或者补正文件的内容与采购人签订合同。成交供应商不得再与采购人签订背离合同实质性内容的其它协议或声明。</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27.3本文件第四部分需求中要求成交供应商提交履约保证金的，成交供应商须按照规定向采购人提交履约保证金。</w:t>
      </w:r>
    </w:p>
    <w:p>
      <w:pPr>
        <w:pStyle w:val="61"/>
        <w:snapToGrid w:val="0"/>
        <w:spacing w:line="360" w:lineRule="auto"/>
        <w:ind w:firstLine="482" w:firstLineChars="200"/>
        <w:textAlignment w:val="auto"/>
        <w:outlineLvl w:val="1"/>
        <w:rPr>
          <w:rFonts w:hint="eastAsia" w:ascii="宋体" w:hAnsi="宋体" w:eastAsia="宋体" w:cs="宋体"/>
          <w:b/>
          <w:bCs/>
          <w:spacing w:val="10"/>
          <w:sz w:val="24"/>
          <w:szCs w:val="24"/>
          <w:highlight w:val="none"/>
        </w:rPr>
      </w:pPr>
      <w:bookmarkStart w:id="31" w:name="_Toc22124"/>
      <w:bookmarkStart w:id="32" w:name="_Toc27925"/>
      <w:r>
        <w:rPr>
          <w:rStyle w:val="72"/>
          <w:rFonts w:hint="eastAsia" w:ascii="宋体" w:hAnsi="宋体" w:eastAsia="宋体" w:cs="宋体"/>
          <w:highlight w:val="none"/>
        </w:rPr>
        <w:t>七、服务费</w:t>
      </w:r>
      <w:bookmarkEnd w:id="31"/>
      <w:bookmarkEnd w:id="32"/>
      <w:r>
        <w:rPr>
          <w:rFonts w:hint="eastAsia" w:ascii="宋体" w:hAnsi="宋体" w:eastAsia="宋体" w:cs="宋体"/>
          <w:b/>
          <w:bCs/>
          <w:spacing w:val="10"/>
          <w:sz w:val="24"/>
          <w:szCs w:val="24"/>
          <w:highlight w:val="none"/>
        </w:rPr>
        <w:t>　　</w:t>
      </w:r>
    </w:p>
    <w:p>
      <w:pPr>
        <w:pStyle w:val="61"/>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28. 服务费</w:t>
      </w:r>
    </w:p>
    <w:p>
      <w:pPr>
        <w:pStyle w:val="61"/>
        <w:snapToGrid w:val="0"/>
        <w:spacing w:line="360" w:lineRule="auto"/>
        <w:ind w:firstLine="480" w:firstLineChars="200"/>
        <w:textAlignment w:val="auto"/>
        <w:rPr>
          <w:rFonts w:hint="eastAsia" w:ascii="宋体" w:hAnsi="宋体" w:eastAsia="宋体" w:cs="宋体"/>
          <w:sz w:val="24"/>
          <w:szCs w:val="24"/>
          <w:highlight w:val="none"/>
        </w:rPr>
      </w:pPr>
      <w:bookmarkStart w:id="33" w:name="_Toc489430981"/>
      <w:bookmarkStart w:id="34" w:name="_Toc421891904"/>
      <w:bookmarkStart w:id="35" w:name="_Toc421891963"/>
      <w:r>
        <w:rPr>
          <w:rFonts w:hint="eastAsia" w:ascii="宋体" w:hAnsi="宋体" w:eastAsia="宋体" w:cs="宋体"/>
          <w:sz w:val="24"/>
          <w:szCs w:val="24"/>
          <w:highlight w:val="none"/>
        </w:rPr>
        <w:t>成交供应商在接受“中标通知书”一周内应向采购代理机构缴纳代理服务费。服务费金额参照国家计委 “计价格[2002]1980号”文件规定收取。具体标准如下：</w:t>
      </w:r>
      <w:bookmarkEnd w:id="33"/>
    </w:p>
    <w:bookmarkEnd w:id="34"/>
    <w:bookmarkEnd w:id="35"/>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3121"/>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7"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36" w:name="_Toc489430982"/>
            <w:bookmarkStart w:id="37" w:name="_Toc421891905"/>
            <w:bookmarkStart w:id="38" w:name="_Toc421891964"/>
            <w:bookmarkStart w:id="39" w:name="_Toc489430992"/>
            <w:r>
              <w:rPr>
                <w:rFonts w:hint="eastAsia" w:ascii="宋体" w:hAnsi="宋体" w:eastAsia="宋体" w:cs="宋体"/>
                <w:sz w:val="24"/>
                <w:szCs w:val="24"/>
              </w:rPr>
              <w:t>成交金额(万元)</w:t>
            </w:r>
            <w:bookmarkEnd w:id="36"/>
          </w:p>
        </w:tc>
        <w:tc>
          <w:tcPr>
            <w:tcW w:w="3121"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40" w:name="_Toc489430983"/>
            <w:r>
              <w:rPr>
                <w:rFonts w:hint="eastAsia" w:ascii="宋体" w:hAnsi="宋体" w:eastAsia="宋体" w:cs="宋体"/>
                <w:sz w:val="24"/>
                <w:szCs w:val="24"/>
              </w:rPr>
              <w:t>货</w:t>
            </w:r>
            <w:bookmarkStart w:id="41" w:name="_Toc421891906"/>
            <w:bookmarkStart w:id="42" w:name="_Toc421891965"/>
            <w:r>
              <w:rPr>
                <w:rFonts w:hint="eastAsia" w:ascii="宋体" w:hAnsi="宋体" w:eastAsia="宋体" w:cs="宋体"/>
                <w:sz w:val="24"/>
                <w:szCs w:val="24"/>
              </w:rPr>
              <w:t>物</w:t>
            </w:r>
            <w:bookmarkEnd w:id="40"/>
            <w:r>
              <w:rPr>
                <w:rFonts w:hint="eastAsia" w:ascii="宋体" w:hAnsi="宋体" w:eastAsia="宋体" w:cs="宋体"/>
                <w:sz w:val="24"/>
                <w:szCs w:val="24"/>
              </w:rPr>
              <w:t>项目</w:t>
            </w:r>
          </w:p>
          <w:bookmarkEnd w:id="41"/>
          <w:bookmarkEnd w:id="42"/>
        </w:tc>
        <w:tc>
          <w:tcPr>
            <w:tcW w:w="3121" w:type="dxa"/>
          </w:tcPr>
          <w:p>
            <w:pPr>
              <w:pStyle w:val="61"/>
              <w:snapToGrid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服务项目</w:t>
            </w:r>
          </w:p>
          <w:bookmarkEnd w:id="37"/>
          <w:bookmarkEnd w:id="3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7"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43" w:name="_Toc489430984"/>
            <w:r>
              <w:rPr>
                <w:rFonts w:hint="eastAsia" w:ascii="宋体" w:hAnsi="宋体" w:eastAsia="宋体" w:cs="宋体"/>
                <w:sz w:val="24"/>
                <w:szCs w:val="24"/>
              </w:rPr>
              <w:t>1</w:t>
            </w:r>
            <w:bookmarkStart w:id="44" w:name="_Toc421891966"/>
            <w:bookmarkStart w:id="45" w:name="_Toc421891907"/>
            <w:r>
              <w:rPr>
                <w:rFonts w:hint="eastAsia" w:ascii="宋体" w:hAnsi="宋体" w:eastAsia="宋体" w:cs="宋体"/>
                <w:sz w:val="24"/>
                <w:szCs w:val="24"/>
              </w:rPr>
              <w:t>00以下</w:t>
            </w:r>
            <w:bookmarkEnd w:id="43"/>
          </w:p>
        </w:tc>
        <w:tc>
          <w:tcPr>
            <w:tcW w:w="3121"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46" w:name="_Toc489430985"/>
            <w:r>
              <w:rPr>
                <w:rFonts w:hint="eastAsia" w:ascii="宋体" w:hAnsi="宋体" w:eastAsia="宋体" w:cs="宋体"/>
                <w:sz w:val="24"/>
                <w:szCs w:val="24"/>
              </w:rPr>
              <w:t>1</w:t>
            </w:r>
            <w:bookmarkStart w:id="47" w:name="_Toc421891908"/>
            <w:bookmarkStart w:id="48" w:name="_Toc421891967"/>
            <w:r>
              <w:rPr>
                <w:rFonts w:hint="eastAsia" w:ascii="宋体" w:hAnsi="宋体" w:eastAsia="宋体" w:cs="宋体"/>
                <w:sz w:val="24"/>
                <w:szCs w:val="24"/>
              </w:rPr>
              <w:t>.5%</w:t>
            </w:r>
            <w:bookmarkEnd w:id="46"/>
          </w:p>
          <w:bookmarkEnd w:id="47"/>
          <w:bookmarkEnd w:id="48"/>
        </w:tc>
        <w:tc>
          <w:tcPr>
            <w:tcW w:w="3121" w:type="dxa"/>
          </w:tcPr>
          <w:p>
            <w:pPr>
              <w:pStyle w:val="61"/>
              <w:snapToGrid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1.5%</w:t>
            </w:r>
          </w:p>
          <w:bookmarkEnd w:id="44"/>
          <w:bookmarkEnd w:id="45"/>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7"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49" w:name="_Toc489430986"/>
            <w:r>
              <w:rPr>
                <w:rFonts w:hint="eastAsia" w:ascii="宋体" w:hAnsi="宋体" w:eastAsia="宋体" w:cs="宋体"/>
                <w:sz w:val="24"/>
                <w:szCs w:val="24"/>
              </w:rPr>
              <w:t>1</w:t>
            </w:r>
            <w:bookmarkStart w:id="50" w:name="_Toc421891968"/>
            <w:bookmarkStart w:id="51" w:name="_Toc421891909"/>
            <w:r>
              <w:rPr>
                <w:rFonts w:hint="eastAsia" w:ascii="宋体" w:hAnsi="宋体" w:eastAsia="宋体" w:cs="宋体"/>
                <w:sz w:val="24"/>
                <w:szCs w:val="24"/>
              </w:rPr>
              <w:t>00-500</w:t>
            </w:r>
            <w:bookmarkEnd w:id="49"/>
          </w:p>
        </w:tc>
        <w:tc>
          <w:tcPr>
            <w:tcW w:w="3121"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52" w:name="_Toc489430987"/>
            <w:r>
              <w:rPr>
                <w:rFonts w:hint="eastAsia" w:ascii="宋体" w:hAnsi="宋体" w:eastAsia="宋体" w:cs="宋体"/>
                <w:sz w:val="24"/>
                <w:szCs w:val="24"/>
              </w:rPr>
              <w:t>1</w:t>
            </w:r>
            <w:bookmarkStart w:id="53" w:name="_Toc421891969"/>
            <w:bookmarkStart w:id="54" w:name="_Toc421891910"/>
            <w:r>
              <w:rPr>
                <w:rFonts w:hint="eastAsia" w:ascii="宋体" w:hAnsi="宋体" w:eastAsia="宋体" w:cs="宋体"/>
                <w:sz w:val="24"/>
                <w:szCs w:val="24"/>
              </w:rPr>
              <w:t>.1%</w:t>
            </w:r>
            <w:bookmarkEnd w:id="52"/>
          </w:p>
          <w:bookmarkEnd w:id="53"/>
          <w:bookmarkEnd w:id="54"/>
        </w:tc>
        <w:tc>
          <w:tcPr>
            <w:tcW w:w="3121" w:type="dxa"/>
          </w:tcPr>
          <w:p>
            <w:pPr>
              <w:pStyle w:val="61"/>
              <w:snapToGrid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0.8%</w:t>
            </w:r>
          </w:p>
          <w:bookmarkEnd w:id="50"/>
          <w:bookmarkEnd w:id="5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17"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55" w:name="_Toc489430988"/>
            <w:r>
              <w:rPr>
                <w:rFonts w:hint="eastAsia" w:ascii="宋体" w:hAnsi="宋体" w:eastAsia="宋体" w:cs="宋体"/>
                <w:sz w:val="24"/>
                <w:szCs w:val="24"/>
              </w:rPr>
              <w:t>5</w:t>
            </w:r>
            <w:bookmarkStart w:id="56" w:name="_Toc421891970"/>
            <w:bookmarkStart w:id="57" w:name="_Toc421891911"/>
            <w:r>
              <w:rPr>
                <w:rFonts w:hint="eastAsia" w:ascii="宋体" w:hAnsi="宋体" w:eastAsia="宋体" w:cs="宋体"/>
                <w:sz w:val="24"/>
                <w:szCs w:val="24"/>
              </w:rPr>
              <w:t>00-1000</w:t>
            </w:r>
            <w:bookmarkEnd w:id="55"/>
          </w:p>
        </w:tc>
        <w:tc>
          <w:tcPr>
            <w:tcW w:w="3121"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58" w:name="_Toc489430989"/>
            <w:r>
              <w:rPr>
                <w:rFonts w:hint="eastAsia" w:ascii="宋体" w:hAnsi="宋体" w:eastAsia="宋体" w:cs="宋体"/>
                <w:sz w:val="24"/>
                <w:szCs w:val="24"/>
              </w:rPr>
              <w:t>0</w:t>
            </w:r>
            <w:bookmarkStart w:id="59" w:name="_Toc421891971"/>
            <w:bookmarkStart w:id="60" w:name="_Toc421891912"/>
            <w:r>
              <w:rPr>
                <w:rFonts w:hint="eastAsia" w:ascii="宋体" w:hAnsi="宋体" w:eastAsia="宋体" w:cs="宋体"/>
                <w:sz w:val="24"/>
                <w:szCs w:val="24"/>
              </w:rPr>
              <w:t>.8%</w:t>
            </w:r>
            <w:bookmarkEnd w:id="58"/>
          </w:p>
          <w:bookmarkEnd w:id="59"/>
          <w:bookmarkEnd w:id="60"/>
        </w:tc>
        <w:tc>
          <w:tcPr>
            <w:tcW w:w="3121" w:type="dxa"/>
          </w:tcPr>
          <w:p>
            <w:pPr>
              <w:pStyle w:val="61"/>
              <w:snapToGrid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0.45%</w:t>
            </w:r>
          </w:p>
          <w:bookmarkEnd w:id="56"/>
          <w:bookmarkEnd w:id="5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17"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61" w:name="_Toc489430990"/>
            <w:r>
              <w:rPr>
                <w:rFonts w:hint="eastAsia" w:ascii="宋体" w:hAnsi="宋体" w:eastAsia="宋体" w:cs="宋体"/>
                <w:sz w:val="24"/>
                <w:szCs w:val="24"/>
              </w:rPr>
              <w:t>1</w:t>
            </w:r>
            <w:bookmarkStart w:id="62" w:name="_Toc421891913"/>
            <w:bookmarkStart w:id="63" w:name="_Toc421891972"/>
            <w:r>
              <w:rPr>
                <w:rFonts w:hint="eastAsia" w:ascii="宋体" w:hAnsi="宋体" w:eastAsia="宋体" w:cs="宋体"/>
                <w:sz w:val="24"/>
                <w:szCs w:val="24"/>
              </w:rPr>
              <w:t>000-5000</w:t>
            </w:r>
            <w:bookmarkEnd w:id="61"/>
          </w:p>
        </w:tc>
        <w:tc>
          <w:tcPr>
            <w:tcW w:w="3121" w:type="dxa"/>
            <w:vAlign w:val="center"/>
          </w:tcPr>
          <w:p>
            <w:pPr>
              <w:pStyle w:val="61"/>
              <w:snapToGrid w:val="0"/>
              <w:spacing w:line="360" w:lineRule="auto"/>
              <w:ind w:firstLine="480" w:firstLineChars="200"/>
              <w:jc w:val="center"/>
              <w:textAlignment w:val="auto"/>
              <w:rPr>
                <w:rFonts w:hint="eastAsia" w:ascii="宋体" w:hAnsi="宋体" w:eastAsia="宋体" w:cs="宋体"/>
                <w:sz w:val="24"/>
                <w:szCs w:val="24"/>
              </w:rPr>
            </w:pPr>
            <w:bookmarkStart w:id="64" w:name="_Toc489430991"/>
            <w:r>
              <w:rPr>
                <w:rFonts w:hint="eastAsia" w:ascii="宋体" w:hAnsi="宋体" w:eastAsia="宋体" w:cs="宋体"/>
                <w:sz w:val="24"/>
                <w:szCs w:val="24"/>
              </w:rPr>
              <w:t>0</w:t>
            </w:r>
            <w:bookmarkStart w:id="65" w:name="_Toc421891914"/>
            <w:bookmarkStart w:id="66" w:name="_Toc421891973"/>
            <w:r>
              <w:rPr>
                <w:rFonts w:hint="eastAsia" w:ascii="宋体" w:hAnsi="宋体" w:eastAsia="宋体" w:cs="宋体"/>
                <w:sz w:val="24"/>
                <w:szCs w:val="24"/>
              </w:rPr>
              <w:t>.5%</w:t>
            </w:r>
            <w:bookmarkEnd w:id="64"/>
          </w:p>
          <w:bookmarkEnd w:id="65"/>
          <w:bookmarkEnd w:id="66"/>
        </w:tc>
        <w:tc>
          <w:tcPr>
            <w:tcW w:w="3121" w:type="dxa"/>
          </w:tcPr>
          <w:p>
            <w:pPr>
              <w:pStyle w:val="61"/>
              <w:snapToGrid w:val="0"/>
              <w:spacing w:line="36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0.25%</w:t>
            </w:r>
          </w:p>
          <w:bookmarkEnd w:id="62"/>
          <w:bookmarkEnd w:id="63"/>
        </w:tc>
      </w:tr>
    </w:tbl>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w:t>
      </w:r>
      <w:bookmarkStart w:id="67" w:name="_Toc421891915"/>
      <w:bookmarkStart w:id="68" w:name="_Toc421891974"/>
      <w:r>
        <w:rPr>
          <w:rFonts w:hint="eastAsia" w:ascii="宋体" w:hAnsi="宋体" w:eastAsia="宋体" w:cs="宋体"/>
          <w:sz w:val="24"/>
          <w:szCs w:val="24"/>
        </w:rPr>
        <w:t>：代理服务收费按差额定率累进法计算。</w:t>
      </w:r>
      <w:bookmarkEnd w:id="39"/>
    </w:p>
    <w:bookmarkEnd w:id="67"/>
    <w:bookmarkEnd w:id="68"/>
    <w:p>
      <w:pPr>
        <w:pStyle w:val="61"/>
        <w:snapToGrid w:val="0"/>
        <w:spacing w:line="360" w:lineRule="auto"/>
        <w:ind w:firstLine="480" w:firstLineChars="200"/>
        <w:textAlignment w:val="auto"/>
        <w:rPr>
          <w:rFonts w:hint="eastAsia" w:ascii="宋体" w:hAnsi="宋体" w:eastAsia="宋体" w:cs="宋体"/>
          <w:sz w:val="24"/>
          <w:szCs w:val="24"/>
        </w:rPr>
      </w:pPr>
      <w:bookmarkStart w:id="69" w:name="_Toc489430993"/>
      <w:r>
        <w:rPr>
          <w:rFonts w:hint="eastAsia" w:ascii="宋体" w:hAnsi="宋体" w:eastAsia="宋体" w:cs="宋体"/>
          <w:sz w:val="24"/>
          <w:szCs w:val="24"/>
        </w:rPr>
        <w:t>例如：某货物招标代理业务中标金额为900万元，计算招标代理服务收费额如下：100万元×1.5%=1.5万元（500-100）万元×1.1%=4.4万元（900-500）×0.8%=3.2万元。合计收费=1.5+4.4+3.2=9.1（万元）。</w:t>
      </w:r>
      <w:bookmarkEnd w:id="69"/>
    </w:p>
    <w:p>
      <w:pPr>
        <w:pStyle w:val="6"/>
        <w:ind w:left="0" w:leftChars="0" w:firstLine="482" w:firstLineChars="200"/>
        <w:rPr>
          <w:rFonts w:hint="eastAsia" w:ascii="宋体" w:hAnsi="宋体" w:eastAsia="宋体" w:cs="宋体"/>
        </w:rPr>
      </w:pPr>
      <w:bookmarkStart w:id="70" w:name="_Toc14690"/>
      <w:bookmarkStart w:id="71" w:name="_Toc7283"/>
      <w:r>
        <w:rPr>
          <w:rFonts w:hint="eastAsia" w:ascii="宋体" w:hAnsi="宋体" w:eastAsia="宋体" w:cs="宋体"/>
        </w:rPr>
        <w:t>八、保密和披露</w:t>
      </w:r>
      <w:bookmarkEnd w:id="70"/>
      <w:bookmarkEnd w:id="71"/>
    </w:p>
    <w:p>
      <w:pPr>
        <w:pStyle w:val="61"/>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29. 保密</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磋商供应商自领取磋商文件之日起，须承诺承担本采购项目下的保密义务，不得将因本次磋商获得的信息向第三人外传。</w:t>
      </w:r>
    </w:p>
    <w:p>
      <w:pPr>
        <w:pStyle w:val="61"/>
        <w:adjustRightIn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30. 披露</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30.1 采购代理机构有权将磋商供应商提供的所有资料向有关政府部门或评审文件的有关人员披露。</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30.2 在采购代理机构认为适当时、或国家机关调查、审查、审计时以及其他符合法律法规规定的情形下，采购代理机构无须事先征求磋商供应商/成交供应商同意即可披露关于采购过程、合同文本、签署情况的资料、名称及地址、响应文件的有关信息以及补充条款等，但</w:t>
      </w:r>
      <w:r>
        <w:rPr>
          <w:rFonts w:hint="eastAsia" w:ascii="宋体" w:hAnsi="宋体" w:eastAsia="宋体" w:cs="宋体"/>
          <w:b/>
          <w:sz w:val="24"/>
          <w:szCs w:val="24"/>
        </w:rPr>
        <w:t>必须</w:t>
      </w:r>
      <w:r>
        <w:rPr>
          <w:rFonts w:hint="eastAsia" w:ascii="宋体" w:hAnsi="宋体" w:eastAsia="宋体" w:cs="宋体"/>
          <w:sz w:val="24"/>
          <w:szCs w:val="24"/>
        </w:rPr>
        <w:t>在合理的必要范围内。对任何已经公布过的内容或与之内容相同的资料，以及磋商供应商/成交供应商已经泄露或公开的，无须再承担保密责任。</w:t>
      </w:r>
    </w:p>
    <w:p>
      <w:pPr>
        <w:pStyle w:val="6"/>
        <w:ind w:left="420"/>
        <w:rPr>
          <w:rFonts w:hint="eastAsia" w:ascii="宋体" w:hAnsi="宋体" w:eastAsia="宋体" w:cs="宋体"/>
        </w:rPr>
      </w:pPr>
      <w:bookmarkStart w:id="72" w:name="_Toc13444"/>
      <w:bookmarkStart w:id="73" w:name="_Toc28973"/>
      <w:r>
        <w:rPr>
          <w:rFonts w:hint="eastAsia" w:ascii="宋体" w:hAnsi="宋体" w:eastAsia="宋体" w:cs="宋体"/>
        </w:rPr>
        <w:t>九、询问和质疑</w:t>
      </w:r>
      <w:bookmarkEnd w:id="72"/>
      <w:bookmarkEnd w:id="73"/>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31.询问</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供应商对磋商文件有疑问的，可按第一部分采购邀请中载明的联系方式、地址，口头或书面形式向采购代理机构、采购人提出询问；磋商供应商对评审过程、采购结果有疑问的，可按成交公告中载明的联系方式、地址提出询问。</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31.2询问事项若属于采购人提交的采购需求范畴的，询问方式为口头询问的，采购代理机构告知询问对象直接向采购人询问；询问方式为书面询问的，供应商须提供以下资料各2份，法定代表人身份证明书、法定代表人授权委托书、委托人和被委托人的身份证扫描件、询问函。在采购代理机构领取《供应商询问告知函》，供应商持《供应商询问告知函》向采购人进行询问。采购人须在法定时间内向询问供应商进行书面答复。</w:t>
      </w:r>
    </w:p>
    <w:p>
      <w:pPr>
        <w:pStyle w:val="61"/>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32.质疑</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32.1供应商认为采购文件、采购过程和采购结果使自己的权益受到损害，应当在法定质疑期限内一次性提出针对同一采购程序环节的质疑，且质疑函必须是书面形式（质疑函范本须从中国政府采购网http://www.ccgp.gov.cn/的下载专区下载）。</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对可以质疑的采购文件提出质疑的，在收到采购文件之日起七个工作日内提出；</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对采购过程提出质疑的，在各采购程序环节结束之日起七个工作日内提出；</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对成交结果提出质疑的，在成交公告期限届满之日起七个工作日内提出。</w:t>
      </w:r>
    </w:p>
    <w:p>
      <w:pPr>
        <w:pStyle w:val="61"/>
        <w:snapToGrid w:val="0"/>
        <w:spacing w:line="360" w:lineRule="auto"/>
        <w:ind w:firstLine="480" w:firstLineChars="200"/>
        <w:textAlignment w:val="auto"/>
        <w:rPr>
          <w:rFonts w:hint="eastAsia" w:ascii="宋体" w:hAnsi="宋体" w:eastAsia="宋体" w:cs="宋体"/>
          <w:bCs/>
          <w:spacing w:val="10"/>
          <w:sz w:val="24"/>
          <w:szCs w:val="24"/>
        </w:rPr>
      </w:pPr>
      <w:r>
        <w:rPr>
          <w:rFonts w:hint="eastAsia" w:ascii="宋体" w:hAnsi="宋体" w:eastAsia="宋体" w:cs="宋体"/>
          <w:sz w:val="24"/>
          <w:szCs w:val="24"/>
        </w:rPr>
        <w:t>32.2</w:t>
      </w:r>
      <w:r>
        <w:rPr>
          <w:rFonts w:hint="eastAsia" w:ascii="宋体" w:hAnsi="宋体" w:eastAsia="宋体" w:cs="宋体"/>
          <w:bCs/>
          <w:spacing w:val="10"/>
          <w:sz w:val="24"/>
          <w:szCs w:val="24"/>
        </w:rPr>
        <w:t>对采购文件编制内容（不包括采购需求）、磋商过程、磋商结果提出质疑的，由采购代理机构进行书面答复。对采购文件中采购需求提出质疑的，采购代理机构出具《供应商质疑告知函》（一式三份），供应商持《供应商质疑告知函》向采购人提出质疑。</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32.3 采购代理机构、采购人将依据《中华人民共和国政府采购法实施条例》第五十二条第一款的规定时限对磋商供应商的询问、质疑做出处理和答复。</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32.4无效质疑情形</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A.未参与本次政府采购活动的供应商；</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B.不符合本次政府采购活动特定条件的供应商；</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C.未在有效期内提出质疑的；</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D.不同质疑人委托同一人办理质疑事宜的；</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E.质疑没有明确请求和必要的证明材料；</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F.其它不符合受理条件的情形。</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32.5质疑供应商撤回质疑的，终止质疑处理；</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32.6质疑供应商有下列情形之一的，属于虚假、恶意质疑，采购代理机构或采购人应当驳回质疑，并向政府采购监督管理部门报告将其列入不良行为记录名单，并依法予以处罚：</w:t>
      </w:r>
    </w:p>
    <w:p>
      <w:pPr>
        <w:pStyle w:val="61"/>
        <w:snapToGrid w:val="0"/>
        <w:spacing w:line="360" w:lineRule="auto"/>
        <w:ind w:firstLine="520" w:firstLineChars="200"/>
        <w:textAlignment w:val="auto"/>
        <w:rPr>
          <w:rFonts w:hint="eastAsia" w:ascii="宋体" w:hAnsi="宋体" w:eastAsia="宋体" w:cs="宋体"/>
          <w:bCs/>
          <w:spacing w:val="10"/>
          <w:sz w:val="24"/>
          <w:szCs w:val="24"/>
        </w:rPr>
      </w:pPr>
      <w:r>
        <w:rPr>
          <w:rFonts w:hint="eastAsia" w:ascii="宋体" w:hAnsi="宋体" w:eastAsia="宋体" w:cs="宋体"/>
          <w:bCs/>
          <w:spacing w:val="10"/>
          <w:sz w:val="24"/>
          <w:szCs w:val="24"/>
        </w:rPr>
        <w:t>A、一年内三次以上质疑均查无实据的；</w:t>
      </w:r>
    </w:p>
    <w:p>
      <w:pPr>
        <w:pStyle w:val="61"/>
        <w:snapToGrid w:val="0"/>
        <w:spacing w:line="360" w:lineRule="auto"/>
        <w:ind w:firstLine="520" w:firstLineChars="200"/>
        <w:textAlignment w:val="auto"/>
        <w:rPr>
          <w:rFonts w:hint="eastAsia" w:ascii="宋体" w:hAnsi="宋体" w:eastAsia="宋体" w:cs="宋体"/>
        </w:rPr>
      </w:pPr>
      <w:r>
        <w:rPr>
          <w:rFonts w:hint="eastAsia" w:ascii="宋体" w:hAnsi="宋体" w:eastAsia="宋体" w:cs="宋体"/>
          <w:bCs/>
          <w:spacing w:val="10"/>
          <w:sz w:val="24"/>
          <w:szCs w:val="24"/>
        </w:rPr>
        <w:t>B、捏造事实或者提供虚假质疑材料的。</w:t>
      </w:r>
      <w:r>
        <w:rPr>
          <w:rFonts w:hint="eastAsia" w:ascii="宋体" w:hAnsi="宋体" w:eastAsia="宋体" w:cs="宋体"/>
        </w:rPr>
        <w:br w:type="page"/>
      </w:r>
    </w:p>
    <w:p>
      <w:pPr>
        <w:pStyle w:val="5"/>
        <w:rPr>
          <w:rFonts w:hint="eastAsia" w:ascii="宋体" w:hAnsi="宋体" w:eastAsia="宋体" w:cs="宋体"/>
          <w:color w:val="auto"/>
        </w:rPr>
      </w:pPr>
      <w:bookmarkStart w:id="74" w:name="_Toc32561"/>
      <w:r>
        <w:rPr>
          <w:rFonts w:hint="eastAsia" w:ascii="宋体" w:hAnsi="宋体" w:eastAsia="宋体" w:cs="宋体"/>
          <w:color w:val="auto"/>
        </w:rPr>
        <w:t>第四部分  采购需求</w:t>
      </w:r>
      <w:bookmarkEnd w:id="74"/>
    </w:p>
    <w:p>
      <w:pPr>
        <w:pStyle w:val="6"/>
        <w:numPr>
          <w:ilvl w:val="0"/>
          <w:numId w:val="0"/>
        </w:numPr>
        <w:rPr>
          <w:rFonts w:hint="eastAsia" w:ascii="宋体" w:hAnsi="宋体" w:eastAsia="宋体" w:cs="宋体"/>
          <w:sz w:val="28"/>
          <w:szCs w:val="36"/>
        </w:rPr>
      </w:pPr>
      <w:r>
        <w:rPr>
          <w:rFonts w:hint="eastAsia" w:ascii="宋体" w:hAnsi="宋体" w:eastAsia="宋体" w:cs="宋体"/>
          <w:sz w:val="28"/>
          <w:szCs w:val="36"/>
        </w:rPr>
        <w:t>项目概况</w:t>
      </w:r>
    </w:p>
    <w:p>
      <w:pPr>
        <w:pStyle w:val="80"/>
        <w:spacing w:line="360" w:lineRule="auto"/>
        <w:ind w:firstLine="480"/>
        <w:rPr>
          <w:rFonts w:hint="eastAsia" w:ascii="宋体" w:hAnsi="宋体" w:eastAsia="宋体" w:cs="宋体"/>
          <w:sz w:val="24"/>
          <w:szCs w:val="24"/>
        </w:rPr>
      </w:pPr>
      <w:r>
        <w:rPr>
          <w:rFonts w:hint="eastAsia" w:ascii="宋体" w:hAnsi="宋体" w:eastAsia="宋体" w:cs="宋体"/>
          <w:sz w:val="24"/>
          <w:szCs w:val="24"/>
        </w:rPr>
        <w:t>面对党中央国务院、省委省政府、市委市政府关于进一步加强安全生产和应急管理工作的要求，以及全市依然严峻的应急管理形势，临汾市需要加快实施应急管理信息化工程，推进信息化在安全生产监管、防灾减灾救灾、应急救援指挥中的应用。</w:t>
      </w:r>
    </w:p>
    <w:p>
      <w:pPr>
        <w:pStyle w:val="80"/>
        <w:spacing w:line="360" w:lineRule="auto"/>
        <w:ind w:firstLine="480"/>
        <w:rPr>
          <w:rFonts w:hint="eastAsia" w:ascii="宋体" w:hAnsi="宋体" w:eastAsia="宋体" w:cs="宋体"/>
          <w:sz w:val="24"/>
          <w:szCs w:val="24"/>
        </w:rPr>
      </w:pPr>
      <w:r>
        <w:rPr>
          <w:rFonts w:hint="eastAsia" w:ascii="宋体" w:hAnsi="宋体" w:eastAsia="宋体" w:cs="宋体"/>
          <w:sz w:val="24"/>
          <w:szCs w:val="24"/>
        </w:rPr>
        <w:t>通过临汾市应急管理信息化综合应用平台项目建立健全统一指挥、反应灵敏、运转高效的应急机制，预防和应对自然灾害类、安全生产事故类和综合防范类突发事件，减少突发事件造成的损失，最大程度地减少国家以及人民生命和财产损失，同时也满足社会公众需要了解更多的公共事件信息的普遍需求，充分体现了党和政府“立党为公，执政为民”的执政理念，能最大限度发挥人民群众在防灾减灾救灾中的积极主动性，有利地推动了地方社会经济和谐发展。</w:t>
      </w:r>
    </w:p>
    <w:p>
      <w:pPr>
        <w:pStyle w:val="6"/>
        <w:numPr>
          <w:ilvl w:val="1"/>
          <w:numId w:val="0"/>
        </w:numPr>
        <w:rPr>
          <w:rFonts w:hint="eastAsia" w:ascii="宋体" w:hAnsi="宋体" w:eastAsia="宋体" w:cs="宋体"/>
          <w:sz w:val="28"/>
          <w:szCs w:val="36"/>
        </w:rPr>
      </w:pPr>
      <w:r>
        <w:rPr>
          <w:rFonts w:hint="eastAsia" w:ascii="宋体" w:hAnsi="宋体" w:eastAsia="宋体" w:cs="宋体"/>
          <w:sz w:val="28"/>
          <w:szCs w:val="36"/>
        </w:rPr>
        <w:t>技术要求</w:t>
      </w:r>
    </w:p>
    <w:p>
      <w:pPr>
        <w:pStyle w:val="7"/>
        <w:spacing w:line="360" w:lineRule="auto"/>
        <w:ind w:firstLine="480"/>
        <w:rPr>
          <w:rFonts w:hint="eastAsia" w:ascii="宋体" w:hAnsi="宋体" w:eastAsia="宋体" w:cs="宋体"/>
          <w:sz w:val="24"/>
          <w:szCs w:val="24"/>
        </w:rPr>
      </w:pPr>
      <w:r>
        <w:rPr>
          <w:rFonts w:hint="eastAsia" w:ascii="宋体" w:hAnsi="宋体" w:eastAsia="宋体" w:cs="宋体"/>
          <w:sz w:val="24"/>
          <w:szCs w:val="24"/>
        </w:rPr>
        <w:t>打造临汾市综合应急管理信息化体系，系统梳理已有和在建资源，按照“集约利旧”原则，优化方案，整体统筹推进。将充分复用现有应急管理部相关信息化系统、省应急管理厅相关信息化系统、市应急管理局相关信息化系统，对已有系统进行系统对接与集成。平台主要包括应急管理综合系统、隐患排查治理系统、信息资源服务、数据治理以及与现有相关信息化系统的对接和集成等内容。具体技术要求如下：</w:t>
      </w:r>
    </w:p>
    <w:p>
      <w:pPr>
        <w:pStyle w:val="8"/>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应急管理综合系统</w:t>
      </w:r>
    </w:p>
    <w:p>
      <w:pPr>
        <w:pStyle w:val="7"/>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临汾市应急管理信息化综合应用平台将从应急管理实际业务出发，将市应急局待建与应急管理部、山西省应急厅已建的应急管理信息化系统进行整合与集成，形成统一的综合集成平台。该系统可根据用户权限与应用权限，提供相应的业务系统入口，解决各类业务系统用户重复登录，业务协同能力差的问题。</w:t>
      </w:r>
    </w:p>
    <w:p>
      <w:pPr>
        <w:pStyle w:val="9"/>
        <w:numPr>
          <w:ilvl w:val="0"/>
          <w:numId w:val="0"/>
        </w:numPr>
        <w:rPr>
          <w:rFonts w:hint="eastAsia" w:ascii="宋体" w:hAnsi="宋体" w:eastAsia="宋体" w:cs="宋体"/>
          <w:sz w:val="28"/>
          <w:szCs w:val="28"/>
        </w:rPr>
      </w:pPr>
      <w:r>
        <w:rPr>
          <w:rFonts w:hint="eastAsia" w:ascii="宋体" w:hAnsi="宋体" w:eastAsia="宋体" w:cs="宋体"/>
          <w:sz w:val="28"/>
          <w:szCs w:val="28"/>
        </w:rPr>
        <w:t>应急综合信息门户</w:t>
      </w:r>
    </w:p>
    <w:p>
      <w:pPr>
        <w:pStyle w:val="7"/>
        <w:spacing w:line="360" w:lineRule="auto"/>
        <w:ind w:firstLine="480"/>
        <w:rPr>
          <w:rFonts w:hint="eastAsia" w:ascii="宋体" w:hAnsi="宋体" w:eastAsia="宋体" w:cs="宋体"/>
          <w:sz w:val="24"/>
          <w:szCs w:val="40"/>
        </w:rPr>
      </w:pPr>
      <w:r>
        <w:rPr>
          <w:rFonts w:hint="eastAsia" w:ascii="宋体" w:hAnsi="宋体" w:eastAsia="宋体" w:cs="宋体"/>
          <w:sz w:val="24"/>
          <w:szCs w:val="24"/>
        </w:rPr>
        <w:t>应急综合信息门户，可以使全市应急管理用户通过一次登录即可使用集成的所有系统，综合信息门户包含工作任务区、政务服务区、信息综合展示区与业务入口。用</w:t>
      </w:r>
      <w:r>
        <w:rPr>
          <w:rFonts w:hint="eastAsia" w:ascii="宋体" w:hAnsi="宋体" w:eastAsia="宋体" w:cs="宋体"/>
          <w:sz w:val="24"/>
          <w:szCs w:val="40"/>
        </w:rPr>
        <w:t>户访问应急综合信息门户，根据权限对用户和角色进行灵活授权，实现基于角色的访问控制策略。</w:t>
      </w:r>
    </w:p>
    <w:p>
      <w:pPr>
        <w:pStyle w:val="9"/>
        <w:numPr>
          <w:ilvl w:val="0"/>
          <w:numId w:val="0"/>
        </w:numPr>
        <w:rPr>
          <w:rFonts w:hint="eastAsia" w:ascii="宋体" w:hAnsi="宋体" w:eastAsia="宋体" w:cs="宋体"/>
          <w:sz w:val="28"/>
          <w:szCs w:val="28"/>
        </w:rPr>
      </w:pPr>
      <w:r>
        <w:rPr>
          <w:rFonts w:hint="eastAsia" w:ascii="宋体" w:hAnsi="宋体" w:eastAsia="宋体" w:cs="宋体"/>
          <w:sz w:val="28"/>
          <w:szCs w:val="28"/>
        </w:rPr>
        <w:t>应急管理综合一张图</w:t>
      </w:r>
    </w:p>
    <w:p>
      <w:pPr>
        <w:pStyle w:val="7"/>
        <w:spacing w:line="360" w:lineRule="auto"/>
        <w:ind w:firstLine="480"/>
        <w:rPr>
          <w:rFonts w:hint="eastAsia" w:ascii="宋体" w:hAnsi="宋体" w:eastAsia="宋体" w:cs="宋体"/>
          <w:sz w:val="24"/>
          <w:szCs w:val="40"/>
        </w:rPr>
      </w:pPr>
      <w:r>
        <w:rPr>
          <w:rFonts w:hint="eastAsia" w:ascii="宋体" w:hAnsi="宋体" w:eastAsia="宋体" w:cs="宋体"/>
          <w:sz w:val="24"/>
          <w:szCs w:val="40"/>
        </w:rPr>
        <w:t>应急管理综合一张图须包含基础信息一张图、安全生产态势一张图、自然灾害态势一张图、突发事件态势一张图，</w:t>
      </w:r>
      <w:r>
        <w:rPr>
          <w:rFonts w:hint="eastAsia" w:ascii="宋体" w:hAnsi="宋体" w:eastAsia="宋体" w:cs="宋体"/>
          <w:sz w:val="24"/>
          <w:szCs w:val="24"/>
        </w:rPr>
        <w:t>实现全市基础信息、安全生产信息、自然灾害信息、突发事件信息、应急资源信息等内容统一汇聚，实现直观化表达、动态化跟踪、图形化展示，为应急管理部门提供可视化的安全生产、自然灾害、应急管理态势全貌</w:t>
      </w:r>
      <w:r>
        <w:rPr>
          <w:rFonts w:hint="eastAsia" w:ascii="宋体" w:hAnsi="宋体" w:eastAsia="宋体" w:cs="宋体"/>
          <w:sz w:val="24"/>
          <w:szCs w:val="40"/>
        </w:rPr>
        <w:t>。</w:t>
      </w:r>
    </w:p>
    <w:p>
      <w:pPr>
        <w:pStyle w:val="10"/>
        <w:numPr>
          <w:ilvl w:val="0"/>
          <w:numId w:val="0"/>
        </w:numPr>
        <w:rPr>
          <w:rFonts w:hint="eastAsia" w:ascii="宋体" w:hAnsi="宋体" w:eastAsia="宋体" w:cs="宋体"/>
          <w:sz w:val="28"/>
          <w:szCs w:val="28"/>
        </w:rPr>
      </w:pPr>
      <w:r>
        <w:rPr>
          <w:rFonts w:hint="eastAsia" w:ascii="宋体" w:hAnsi="宋体" w:eastAsia="宋体" w:cs="宋体"/>
          <w:sz w:val="28"/>
          <w:szCs w:val="28"/>
        </w:rPr>
        <w:t>基础信息一张图</w:t>
      </w:r>
    </w:p>
    <w:p>
      <w:pPr>
        <w:pStyle w:val="7"/>
        <w:spacing w:line="360" w:lineRule="auto"/>
        <w:ind w:firstLine="480"/>
        <w:rPr>
          <w:rFonts w:hint="eastAsia" w:ascii="宋体" w:hAnsi="宋体" w:eastAsia="宋体" w:cs="宋体"/>
          <w:sz w:val="24"/>
          <w:szCs w:val="40"/>
        </w:rPr>
      </w:pPr>
      <w:r>
        <w:rPr>
          <w:rFonts w:hint="eastAsia" w:ascii="宋体" w:hAnsi="宋体" w:eastAsia="宋体" w:cs="宋体"/>
          <w:sz w:val="24"/>
          <w:szCs w:val="40"/>
        </w:rPr>
        <w:t>运用数据可视化相关技术，对全市应急管理工作相关行政区划、地理环境、自然资源、安全生产企业等基础信息进行展示。基础信息一张图须包含辖区基础情况、监测数据、视频图像信息、企业分布、应急资源信息等内容。</w:t>
      </w:r>
    </w:p>
    <w:p>
      <w:pPr>
        <w:pStyle w:val="10"/>
        <w:numPr>
          <w:ilvl w:val="0"/>
          <w:numId w:val="0"/>
        </w:numPr>
        <w:rPr>
          <w:rFonts w:hint="eastAsia" w:ascii="宋体" w:hAnsi="宋体" w:eastAsia="宋体" w:cs="宋体"/>
          <w:sz w:val="28"/>
          <w:szCs w:val="28"/>
        </w:rPr>
      </w:pPr>
      <w:r>
        <w:rPr>
          <w:rFonts w:hint="eastAsia" w:ascii="宋体" w:hAnsi="宋体" w:eastAsia="宋体" w:cs="宋体"/>
          <w:sz w:val="28"/>
          <w:szCs w:val="28"/>
        </w:rPr>
        <w:t>安全生产态势一张图</w:t>
      </w:r>
    </w:p>
    <w:p>
      <w:pPr>
        <w:pStyle w:val="7"/>
        <w:spacing w:line="360" w:lineRule="auto"/>
        <w:ind w:firstLine="480"/>
        <w:rPr>
          <w:rFonts w:hint="eastAsia" w:ascii="宋体" w:hAnsi="宋体" w:eastAsia="宋体" w:cs="宋体"/>
          <w:sz w:val="24"/>
          <w:szCs w:val="40"/>
        </w:rPr>
      </w:pPr>
      <w:r>
        <w:rPr>
          <w:rFonts w:hint="eastAsia" w:ascii="宋体" w:hAnsi="宋体" w:eastAsia="宋体" w:cs="宋体"/>
          <w:sz w:val="24"/>
          <w:szCs w:val="40"/>
        </w:rPr>
        <w:t>安全生产态势一张图须包含安全生产信息、隐患信息、“两重点一重大”信息、整体监测监控信息、报警预警信息等内容，实现安全生产态势一图总览。</w:t>
      </w:r>
    </w:p>
    <w:p>
      <w:pPr>
        <w:pStyle w:val="10"/>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自然灾害态势一张图</w:t>
      </w:r>
    </w:p>
    <w:p>
      <w:pPr>
        <w:pStyle w:val="7"/>
        <w:spacing w:line="360" w:lineRule="auto"/>
        <w:ind w:firstLine="480"/>
        <w:rPr>
          <w:rFonts w:hint="eastAsia" w:ascii="宋体" w:hAnsi="宋体" w:eastAsia="宋体" w:cs="宋体"/>
          <w:sz w:val="24"/>
          <w:szCs w:val="40"/>
        </w:rPr>
      </w:pPr>
      <w:r>
        <w:rPr>
          <w:rFonts w:hint="eastAsia" w:ascii="宋体" w:hAnsi="宋体" w:eastAsia="宋体" w:cs="宋体"/>
          <w:sz w:val="24"/>
          <w:szCs w:val="40"/>
        </w:rPr>
        <w:t>自然灾害态势一张图须包含自然灾害监测预警展示、自然灾害防灾减灾态势展示、自然灾害事件动态展示等内容，实现全市各地自然灾害风险态势感知。</w:t>
      </w:r>
    </w:p>
    <w:p>
      <w:pPr>
        <w:pStyle w:val="10"/>
        <w:numPr>
          <w:ilvl w:val="0"/>
          <w:numId w:val="0"/>
        </w:numPr>
        <w:rPr>
          <w:rFonts w:hint="eastAsia" w:ascii="宋体" w:hAnsi="宋体" w:eastAsia="宋体" w:cs="宋体"/>
          <w:sz w:val="28"/>
          <w:szCs w:val="28"/>
        </w:rPr>
      </w:pPr>
      <w:r>
        <w:rPr>
          <w:rFonts w:hint="eastAsia" w:ascii="宋体" w:hAnsi="宋体" w:eastAsia="宋体" w:cs="宋体"/>
          <w:sz w:val="28"/>
          <w:szCs w:val="28"/>
        </w:rPr>
        <w:t>突发事件态势一张图</w:t>
      </w:r>
    </w:p>
    <w:p>
      <w:pPr>
        <w:pStyle w:val="7"/>
        <w:spacing w:line="360" w:lineRule="auto"/>
        <w:ind w:firstLine="480"/>
        <w:rPr>
          <w:rFonts w:hint="eastAsia" w:ascii="宋体" w:hAnsi="宋体" w:eastAsia="宋体" w:cs="宋体"/>
          <w:sz w:val="24"/>
          <w:szCs w:val="40"/>
        </w:rPr>
      </w:pPr>
      <w:r>
        <w:rPr>
          <w:rFonts w:hint="eastAsia" w:ascii="宋体" w:hAnsi="宋体" w:eastAsia="宋体" w:cs="宋体"/>
          <w:sz w:val="24"/>
          <w:szCs w:val="40"/>
        </w:rPr>
        <w:t>突发事件态势一张图须包含突发事件总体统计展示和当前突发事件处置情况汇总等内容，为领导宏观了解全市突发事件发生态势提供支持。</w:t>
      </w:r>
    </w:p>
    <w:p>
      <w:pPr>
        <w:pStyle w:val="8"/>
        <w:numPr>
          <w:ilvl w:val="0"/>
          <w:numId w:val="0"/>
        </w:numPr>
        <w:ind w:leftChars="0"/>
        <w:rPr>
          <w:rFonts w:hint="eastAsia" w:ascii="宋体" w:hAnsi="宋体" w:eastAsia="宋体" w:cs="宋体"/>
          <w:sz w:val="28"/>
          <w:szCs w:val="28"/>
        </w:rPr>
      </w:pPr>
      <w:bookmarkStart w:id="75" w:name="_Toc149058583"/>
      <w:r>
        <w:rPr>
          <w:rFonts w:hint="eastAsia" w:ascii="宋体" w:hAnsi="宋体" w:eastAsia="宋体" w:cs="宋体"/>
          <w:sz w:val="28"/>
          <w:szCs w:val="28"/>
        </w:rPr>
        <w:t>隐患排查治理系统</w:t>
      </w:r>
      <w:bookmarkEnd w:id="75"/>
    </w:p>
    <w:p>
      <w:pPr>
        <w:pStyle w:val="7"/>
        <w:spacing w:line="360" w:lineRule="auto"/>
        <w:ind w:firstLine="480"/>
        <w:rPr>
          <w:rFonts w:hint="eastAsia" w:ascii="宋体" w:hAnsi="宋体" w:eastAsia="宋体" w:cs="宋体"/>
          <w:sz w:val="24"/>
          <w:szCs w:val="24"/>
        </w:rPr>
      </w:pPr>
      <w:r>
        <w:rPr>
          <w:rFonts w:hint="eastAsia" w:ascii="宋体" w:hAnsi="宋体" w:eastAsia="宋体" w:cs="宋体"/>
          <w:sz w:val="24"/>
          <w:szCs w:val="24"/>
        </w:rPr>
        <w:t>隐患排查治理系统需要满足对企业自查隐患、部门监管发现隐患的排查治理全过程的实时、动态和有效管理，实现企业隐患的快速查报与共享，实现对政府和企业的隐患排查治理工作的痕迹化处理，促进隐患排查标准执行的客观统一，提高业务办理的规范性水平。</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企业基本情况</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企业基本情况模块实现对企业基本信息、许可证照信息、安全生产管理信息、企业示意图、生产工艺信息等各类信息的综合管理。企业完善信息后，政府监管部门用户可查看企业相关信息，便于掌握辖区内企业基本情况信息。</w:t>
      </w:r>
    </w:p>
    <w:p>
      <w:pPr>
        <w:pStyle w:val="9"/>
        <w:numPr>
          <w:ilvl w:val="0"/>
          <w:numId w:val="0"/>
        </w:numPr>
        <w:ind w:leftChars="0"/>
        <w:rPr>
          <w:rFonts w:hint="eastAsia" w:ascii="宋体" w:hAnsi="宋体" w:eastAsia="宋体" w:cs="宋体"/>
          <w:sz w:val="28"/>
          <w:szCs w:val="28"/>
        </w:rPr>
      </w:pPr>
      <w:bookmarkStart w:id="76" w:name="_Toc15583"/>
      <w:r>
        <w:rPr>
          <w:rFonts w:hint="eastAsia" w:ascii="宋体" w:hAnsi="宋体" w:eastAsia="宋体" w:cs="宋体"/>
          <w:sz w:val="28"/>
          <w:szCs w:val="28"/>
        </w:rPr>
        <w:t>重大危险源信息管理</w:t>
      </w:r>
      <w:bookmarkEnd w:id="76"/>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重大危险源信息管理实现对辖区内重大危险源信息的管理，企业完善信息后，政府监管部门用户可查看、审核企业重大危险源相关信息，便于掌握辖区内危险源信息情况。重大危险源信息管理须包含重大危险源信息管理和危险源信息台账导出等功能。</w:t>
      </w:r>
    </w:p>
    <w:p>
      <w:pPr>
        <w:pStyle w:val="9"/>
        <w:numPr>
          <w:ilvl w:val="0"/>
          <w:numId w:val="0"/>
        </w:numPr>
        <w:ind w:leftChars="0"/>
        <w:rPr>
          <w:rFonts w:hint="eastAsia" w:ascii="宋体" w:hAnsi="宋体" w:eastAsia="宋体" w:cs="宋体"/>
          <w:sz w:val="28"/>
          <w:szCs w:val="28"/>
        </w:rPr>
      </w:pPr>
      <w:bookmarkStart w:id="77" w:name="_Toc28629"/>
      <w:r>
        <w:rPr>
          <w:rFonts w:hint="eastAsia" w:ascii="宋体" w:hAnsi="宋体" w:eastAsia="宋体" w:cs="宋体"/>
          <w:sz w:val="28"/>
          <w:szCs w:val="28"/>
        </w:rPr>
        <w:t>隐患排查治理</w:t>
      </w:r>
      <w:bookmarkEnd w:id="77"/>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企业端支持企业完成隐患自查自报、任务提醒等，实现隐患自查自报闭环。政府端支持查看企业自查记录及整改情况。隐患排查治理须包含隐患排查计划、隐患排查任务、隐患排查记录、隐患整改验收、隐患台账、隐患库等功能。</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隐患辅助决策</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隐患辅助决策现对全市隐患趋势情况、重大隐患数量趋势情况等进行可视化直观展示，为全面掌握隐患排查治理工作动态、评价安全监管形势、探索隐患发生的特点和规律以及安全监管决策提供数据支持。隐患辅助决策须包含全市隐患趋势统计、全市隐患核销趋势分析、全市重大隐患数量趋势分析、各区/县隐患趋势分析、各区/县隐患核销耗时分析、安全隐患排查工作考核情况等功能。</w:t>
      </w:r>
    </w:p>
    <w:p>
      <w:pPr>
        <w:pStyle w:val="9"/>
        <w:numPr>
          <w:ilvl w:val="0"/>
          <w:numId w:val="0"/>
        </w:numPr>
        <w:ind w:leftChars="0"/>
        <w:rPr>
          <w:rFonts w:hint="eastAsia" w:ascii="宋体" w:hAnsi="宋体" w:eastAsia="宋体" w:cs="宋体"/>
          <w:sz w:val="28"/>
          <w:szCs w:val="28"/>
        </w:rPr>
      </w:pPr>
      <w:bookmarkStart w:id="78" w:name="_Toc20655"/>
      <w:r>
        <w:rPr>
          <w:rFonts w:hint="eastAsia" w:ascii="宋体" w:hAnsi="宋体" w:eastAsia="宋体" w:cs="宋体"/>
          <w:sz w:val="28"/>
          <w:szCs w:val="28"/>
        </w:rPr>
        <w:t>移动端</w:t>
      </w:r>
      <w:bookmarkEnd w:id="78"/>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随着移动端在日常工作的场景越发明显，需要针对移动办公需求，提供移动端应用APP，移动端包含企业APP和政府APP两种权限方式。企业APP能够为企业员工现场检查核查工作提供风险辨识管控、隐患排查、整改验收、随手拍等移动端应用功能。政府APP包括企业档案、风险清单、风险统计、隐患清单、隐患统计等功能。</w:t>
      </w:r>
    </w:p>
    <w:p>
      <w:pPr>
        <w:pStyle w:val="8"/>
        <w:numPr>
          <w:ilvl w:val="0"/>
          <w:numId w:val="0"/>
        </w:numPr>
        <w:ind w:leftChars="0"/>
        <w:rPr>
          <w:rFonts w:hint="eastAsia" w:ascii="宋体" w:hAnsi="宋体" w:eastAsia="宋体" w:cs="宋体"/>
          <w:sz w:val="28"/>
          <w:szCs w:val="28"/>
        </w:rPr>
      </w:pPr>
      <w:bookmarkStart w:id="79" w:name="_Toc149058584"/>
      <w:r>
        <w:rPr>
          <w:rFonts w:hint="eastAsia" w:ascii="宋体" w:hAnsi="宋体" w:eastAsia="宋体" w:cs="宋体"/>
          <w:sz w:val="28"/>
          <w:szCs w:val="28"/>
        </w:rPr>
        <w:t>信息资源服务</w:t>
      </w:r>
      <w:bookmarkEnd w:id="79"/>
    </w:p>
    <w:p>
      <w:pPr>
        <w:ind w:firstLine="480"/>
        <w:rPr>
          <w:rFonts w:hint="eastAsia" w:ascii="宋体" w:hAnsi="宋体" w:eastAsia="宋体" w:cs="宋体"/>
          <w:sz w:val="24"/>
          <w:szCs w:val="28"/>
        </w:rPr>
      </w:pPr>
      <w:r>
        <w:rPr>
          <w:rFonts w:hint="eastAsia" w:ascii="宋体" w:hAnsi="宋体" w:eastAsia="宋体" w:cs="宋体"/>
          <w:sz w:val="24"/>
          <w:szCs w:val="28"/>
        </w:rPr>
        <w:t>信息资源服务须包含数据资源池、信息资源规划、系统对接与集成等相关内容。</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数据资源池</w:t>
      </w:r>
    </w:p>
    <w:p>
      <w:pPr>
        <w:pStyle w:val="30"/>
        <w:spacing w:line="360" w:lineRule="auto"/>
        <w:ind w:firstLine="480"/>
        <w:rPr>
          <w:rFonts w:hint="eastAsia" w:ascii="宋体" w:hAnsi="宋体" w:eastAsia="宋体" w:cs="宋体"/>
          <w:sz w:val="24"/>
          <w:szCs w:val="24"/>
        </w:rPr>
      </w:pPr>
      <w:r>
        <w:rPr>
          <w:rFonts w:hint="eastAsia" w:ascii="宋体" w:hAnsi="宋体" w:eastAsia="宋体" w:cs="宋体"/>
          <w:sz w:val="24"/>
          <w:szCs w:val="24"/>
        </w:rPr>
        <w:t>为满足临汾市应急管理信息化综合应用平台的数据需要，数据资源池包含原始库、资源库、主题库、配置库等数据库的构建，为应用平台提供支撑。</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信息资源规划</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信息资源规划须包含信息资源分类和信息资源目录编制，基于信息资源分类体系，本项目将针对所有相关部门的信息资源需求，参考《政务信息资源目录编写指南（试行）》，开展信息的汇总整理与分类编目，形成信息资源共享情况表。</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系统对接与集成</w:t>
      </w:r>
    </w:p>
    <w:p>
      <w:pPr>
        <w:spacing w:line="360" w:lineRule="auto"/>
        <w:ind w:firstLine="480"/>
        <w:jc w:val="both"/>
        <w:rPr>
          <w:rFonts w:hint="eastAsia" w:ascii="宋体" w:hAnsi="宋体" w:eastAsia="宋体" w:cs="宋体"/>
          <w:sz w:val="24"/>
          <w:szCs w:val="28"/>
        </w:rPr>
      </w:pPr>
      <w:r>
        <w:rPr>
          <w:rFonts w:hint="eastAsia" w:ascii="宋体" w:hAnsi="宋体" w:eastAsia="宋体" w:cs="宋体"/>
          <w:sz w:val="24"/>
          <w:szCs w:val="28"/>
        </w:rPr>
        <w:t>临汾市应急管理信息化综合应用平台</w:t>
      </w:r>
      <w:r>
        <w:rPr>
          <w:rFonts w:hint="eastAsia" w:ascii="宋体" w:hAnsi="宋体" w:cs="宋体"/>
          <w:color w:val="000000" w:themeColor="text1"/>
          <w:sz w:val="24"/>
          <w:szCs w:val="28"/>
          <w:lang w:val="en-US" w:eastAsia="zh-CN"/>
          <w14:textFill>
            <w14:solidFill>
              <w14:schemeClr w14:val="tx1"/>
            </w14:solidFill>
          </w14:textFill>
        </w:rPr>
        <w:t>部分建设、</w:t>
      </w:r>
      <w:r>
        <w:rPr>
          <w:rFonts w:hint="eastAsia" w:ascii="宋体" w:hAnsi="宋体" w:eastAsia="宋体" w:cs="宋体"/>
          <w:sz w:val="24"/>
          <w:szCs w:val="28"/>
        </w:rPr>
        <w:t>对接与集成的系统包括应急管理部、省应急管理厅和市应急管理局等相关系统。</w:t>
      </w:r>
    </w:p>
    <w:p>
      <w:pPr>
        <w:spacing w:line="360" w:lineRule="auto"/>
        <w:ind w:firstLine="482"/>
        <w:rPr>
          <w:rFonts w:hint="eastAsia" w:ascii="宋体" w:hAnsi="宋体" w:eastAsia="宋体" w:cs="宋体"/>
          <w:b/>
          <w:bCs/>
          <w:sz w:val="24"/>
          <w:szCs w:val="28"/>
        </w:rPr>
      </w:pPr>
      <w:r>
        <w:rPr>
          <w:rFonts w:hint="eastAsia" w:ascii="宋体" w:hAnsi="宋体" w:eastAsia="宋体" w:cs="宋体"/>
          <w:b/>
          <w:bCs/>
          <w:sz w:val="24"/>
          <w:szCs w:val="28"/>
        </w:rPr>
        <w:t>一、系统对接</w:t>
      </w:r>
    </w:p>
    <w:p>
      <w:pPr>
        <w:spacing w:line="360" w:lineRule="auto"/>
        <w:ind w:firstLine="480"/>
        <w:rPr>
          <w:rFonts w:hint="default" w:ascii="宋体" w:hAnsi="宋体" w:eastAsia="宋体" w:cs="宋体"/>
          <w:sz w:val="24"/>
          <w:szCs w:val="28"/>
          <w:lang w:val="en-US" w:eastAsia="zh-CN"/>
        </w:rPr>
      </w:pPr>
      <w:r>
        <w:rPr>
          <w:rFonts w:hint="eastAsia" w:ascii="宋体" w:hAnsi="宋体" w:cs="宋体"/>
          <w:sz w:val="24"/>
          <w:szCs w:val="28"/>
          <w:lang w:val="en-US" w:eastAsia="zh-CN"/>
        </w:rPr>
        <w:t>1、建设煤矿安全生产风险监测预警系统，逐步完成全市煤矿监控系统建立和三大系统统连接。</w:t>
      </w:r>
    </w:p>
    <w:p>
      <w:pPr>
        <w:spacing w:line="360" w:lineRule="auto"/>
        <w:ind w:firstLine="480"/>
        <w:rPr>
          <w:rFonts w:hint="eastAsia" w:ascii="宋体" w:hAnsi="宋体" w:eastAsia="宋体" w:cs="宋体"/>
          <w:sz w:val="24"/>
          <w:szCs w:val="28"/>
        </w:rPr>
      </w:pPr>
      <w:r>
        <w:rPr>
          <w:rFonts w:hint="eastAsia" w:ascii="宋体" w:hAnsi="宋体" w:cs="宋体"/>
          <w:sz w:val="24"/>
          <w:szCs w:val="28"/>
          <w:lang w:val="en-US" w:eastAsia="zh-CN"/>
        </w:rPr>
        <w:t>2</w:t>
      </w:r>
      <w:r>
        <w:rPr>
          <w:rFonts w:hint="eastAsia" w:ascii="宋体" w:hAnsi="宋体" w:eastAsia="宋体" w:cs="宋体"/>
          <w:sz w:val="24"/>
          <w:szCs w:val="28"/>
        </w:rPr>
        <w:t>、与应急管理部统建系统集成，集成系统包含应急指挥一张图、防汛抗旱一张图、全国应急避难场所综合信息管理服务系统、应急资源管理平台、国家应急指挥综合业务系统、网罗天下、“互联网+执法”系统。</w:t>
      </w:r>
    </w:p>
    <w:p>
      <w:pPr>
        <w:spacing w:line="360" w:lineRule="auto"/>
        <w:ind w:firstLine="480"/>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与山西省应急管理厅系统对接，对接系统包含山西省尾矿库安全生产风险监测预警系统、山西省危险化学品安全生产风险监测预警系统、山西省危险化学品管道应急管理信息系统、山西省应急指挥救援信息系统。</w:t>
      </w:r>
    </w:p>
    <w:p>
      <w:pPr>
        <w:spacing w:line="360" w:lineRule="auto"/>
        <w:ind w:firstLine="480"/>
        <w:rPr>
          <w:rFonts w:hint="eastAsia" w:ascii="宋体" w:hAnsi="宋体" w:eastAsia="宋体" w:cs="宋体"/>
          <w:sz w:val="24"/>
          <w:szCs w:val="28"/>
        </w:rPr>
      </w:pPr>
      <w:r>
        <w:rPr>
          <w:rFonts w:hint="eastAsia" w:ascii="宋体" w:hAnsi="宋体" w:cs="宋体"/>
          <w:sz w:val="24"/>
          <w:szCs w:val="28"/>
          <w:lang w:val="en-US" w:eastAsia="zh-CN"/>
        </w:rPr>
        <w:t>4</w:t>
      </w:r>
      <w:r>
        <w:rPr>
          <w:rFonts w:hint="eastAsia" w:ascii="宋体" w:hAnsi="宋体" w:eastAsia="宋体" w:cs="宋体"/>
          <w:sz w:val="24"/>
          <w:szCs w:val="28"/>
        </w:rPr>
        <w:t>、与市应急管理局系统对接，对接系统包含市应急管理局安全生产监管信息平台、市应急管理局卫星遥感森林火灾应急监测预警系统。</w:t>
      </w:r>
    </w:p>
    <w:p>
      <w:pPr>
        <w:spacing w:line="360" w:lineRule="auto"/>
        <w:ind w:firstLine="480"/>
        <w:rPr>
          <w:rFonts w:hint="eastAsia" w:ascii="宋体" w:hAnsi="宋体" w:eastAsia="宋体" w:cs="宋体"/>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、根据市级应急管理业务需求，</w:t>
      </w:r>
      <w:r>
        <w:rPr>
          <w:rFonts w:hint="eastAsia" w:ascii="宋体" w:hAnsi="宋体" w:cs="宋体"/>
          <w:sz w:val="24"/>
          <w:szCs w:val="28"/>
          <w:lang w:val="en-US" w:eastAsia="zh-CN"/>
        </w:rPr>
        <w:t>积极</w:t>
      </w:r>
      <w:r>
        <w:rPr>
          <w:rFonts w:hint="eastAsia" w:ascii="宋体" w:hAnsi="宋体" w:eastAsia="宋体" w:cs="宋体"/>
          <w:sz w:val="24"/>
          <w:szCs w:val="28"/>
        </w:rPr>
        <w:t>与市级安委会成员单位信息化系统</w:t>
      </w:r>
      <w:r>
        <w:rPr>
          <w:rFonts w:hint="eastAsia" w:ascii="宋体" w:hAnsi="宋体" w:cs="宋体"/>
          <w:sz w:val="24"/>
          <w:szCs w:val="28"/>
          <w:lang w:val="en-US" w:eastAsia="zh-CN"/>
        </w:rPr>
        <w:t>连接</w:t>
      </w:r>
      <w:r>
        <w:rPr>
          <w:rFonts w:hint="eastAsia" w:ascii="宋体" w:hAnsi="宋体" w:eastAsia="宋体" w:cs="宋体"/>
          <w:sz w:val="24"/>
          <w:szCs w:val="28"/>
        </w:rPr>
        <w:t>，</w:t>
      </w:r>
      <w:r>
        <w:rPr>
          <w:rFonts w:hint="eastAsia" w:ascii="宋体" w:hAnsi="宋体" w:cs="宋体"/>
          <w:sz w:val="24"/>
          <w:szCs w:val="28"/>
          <w:lang w:val="en-US" w:eastAsia="zh-CN"/>
        </w:rPr>
        <w:t>最大限度</w:t>
      </w:r>
      <w:r>
        <w:rPr>
          <w:rFonts w:hint="eastAsia" w:ascii="宋体" w:hAnsi="宋体" w:eastAsia="宋体" w:cs="宋体"/>
          <w:sz w:val="24"/>
          <w:szCs w:val="28"/>
        </w:rPr>
        <w:t>集成相关</w:t>
      </w:r>
      <w:r>
        <w:rPr>
          <w:rFonts w:hint="eastAsia" w:ascii="宋体" w:hAnsi="宋体" w:eastAsia="宋体" w:cs="宋体"/>
          <w:sz w:val="24"/>
          <w:szCs w:val="28"/>
          <w:lang w:val="en-US" w:eastAsia="zh-CN"/>
        </w:rPr>
        <w:t>内容</w:t>
      </w:r>
      <w:r>
        <w:rPr>
          <w:rFonts w:hint="eastAsia" w:ascii="宋体" w:hAnsi="宋体" w:cs="宋体"/>
          <w:sz w:val="24"/>
          <w:szCs w:val="28"/>
          <w:lang w:val="en-US" w:eastAsia="zh-CN"/>
        </w:rPr>
        <w:t>至信息化平台</w:t>
      </w:r>
      <w:r>
        <w:rPr>
          <w:rFonts w:hint="eastAsia" w:ascii="宋体" w:hAnsi="宋体" w:eastAsia="宋体" w:cs="宋体"/>
          <w:sz w:val="24"/>
          <w:szCs w:val="28"/>
        </w:rPr>
        <w:t>。</w:t>
      </w:r>
    </w:p>
    <w:p>
      <w:pPr>
        <w:spacing w:line="360" w:lineRule="auto"/>
        <w:ind w:firstLine="482"/>
        <w:rPr>
          <w:rFonts w:hint="eastAsia" w:ascii="宋体" w:hAnsi="宋体" w:eastAsia="宋体" w:cs="宋体"/>
          <w:b/>
          <w:bCs/>
          <w:sz w:val="24"/>
          <w:szCs w:val="28"/>
        </w:rPr>
      </w:pPr>
      <w:r>
        <w:rPr>
          <w:rFonts w:hint="eastAsia" w:ascii="宋体" w:hAnsi="宋体" w:eastAsia="宋体" w:cs="宋体"/>
          <w:b/>
          <w:bCs/>
          <w:sz w:val="24"/>
          <w:szCs w:val="28"/>
        </w:rPr>
        <w:t>二、系统集成</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1、与应急管理部统建系统集成，集成系统包含应急指挥一张图、防汛抗旱一张图、全国应急避难场所综合信息管理服务系统、应急资源管理平台、国家应急指挥综合业务系统、网罗天下、“互联网+执法”系统。</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2、山西省应急管理厅系统集成，集成系统包含山西省尾矿库安全生产风险监测预警系统、山西省危险化学品安全生产风险监测预警系统、山西省危险化学品管道应急管理信息系统、山西省应急指挥救援信息系统。</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3、市应急管理局已建信息化系统集成，集成系统包含安全生产监管信息平台、卫星遥感森林火灾应急监测预警系统。</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4、根据市级应急管理业务需求，</w:t>
      </w:r>
      <w:r>
        <w:rPr>
          <w:rFonts w:hint="eastAsia" w:ascii="宋体" w:hAnsi="宋体" w:cs="宋体"/>
          <w:sz w:val="24"/>
          <w:szCs w:val="28"/>
          <w:lang w:val="en-US" w:eastAsia="zh-CN"/>
        </w:rPr>
        <w:t>积极</w:t>
      </w:r>
      <w:r>
        <w:rPr>
          <w:rFonts w:hint="eastAsia" w:ascii="宋体" w:hAnsi="宋体" w:eastAsia="宋体" w:cs="宋体"/>
          <w:sz w:val="24"/>
          <w:szCs w:val="28"/>
        </w:rPr>
        <w:t>与市级安委会成员单位信息化系统</w:t>
      </w:r>
      <w:r>
        <w:rPr>
          <w:rFonts w:hint="eastAsia" w:ascii="宋体" w:hAnsi="宋体" w:eastAsia="宋体" w:cs="宋体"/>
          <w:sz w:val="24"/>
          <w:szCs w:val="28"/>
          <w:lang w:val="en-US" w:eastAsia="zh-CN"/>
        </w:rPr>
        <w:t>连接</w:t>
      </w:r>
      <w:r>
        <w:rPr>
          <w:rFonts w:hint="eastAsia" w:ascii="宋体" w:hAnsi="宋体" w:eastAsia="宋体" w:cs="宋体"/>
          <w:sz w:val="24"/>
          <w:szCs w:val="28"/>
        </w:rPr>
        <w:t>，</w:t>
      </w:r>
      <w:r>
        <w:rPr>
          <w:rFonts w:hint="eastAsia" w:ascii="宋体" w:hAnsi="宋体" w:eastAsia="宋体" w:cs="宋体"/>
          <w:sz w:val="24"/>
          <w:szCs w:val="28"/>
          <w:lang w:val="en-US" w:eastAsia="zh-CN"/>
        </w:rPr>
        <w:t>最大限度</w:t>
      </w:r>
      <w:r>
        <w:rPr>
          <w:rFonts w:hint="eastAsia" w:ascii="宋体" w:hAnsi="宋体" w:eastAsia="宋体" w:cs="宋体"/>
          <w:sz w:val="24"/>
          <w:szCs w:val="28"/>
        </w:rPr>
        <w:t>集成相关</w:t>
      </w:r>
      <w:r>
        <w:rPr>
          <w:rFonts w:hint="eastAsia" w:ascii="宋体" w:hAnsi="宋体" w:eastAsia="宋体" w:cs="宋体"/>
          <w:sz w:val="24"/>
          <w:szCs w:val="28"/>
          <w:lang w:val="en-US" w:eastAsia="zh-CN"/>
        </w:rPr>
        <w:t>内容</w:t>
      </w:r>
      <w:r>
        <w:rPr>
          <w:rFonts w:hint="eastAsia" w:ascii="宋体" w:hAnsi="宋体" w:cs="宋体"/>
          <w:sz w:val="24"/>
          <w:szCs w:val="28"/>
          <w:lang w:val="en-US" w:eastAsia="zh-CN"/>
        </w:rPr>
        <w:t>至信息化平台</w:t>
      </w:r>
      <w:r>
        <w:rPr>
          <w:rFonts w:hint="eastAsia" w:ascii="宋体" w:hAnsi="宋体" w:eastAsia="宋体" w:cs="宋体"/>
          <w:sz w:val="24"/>
          <w:szCs w:val="28"/>
        </w:rPr>
        <w:t>。</w:t>
      </w:r>
    </w:p>
    <w:p>
      <w:pPr>
        <w:pStyle w:val="8"/>
        <w:numPr>
          <w:ilvl w:val="0"/>
          <w:numId w:val="0"/>
        </w:numPr>
        <w:ind w:leftChars="0"/>
        <w:rPr>
          <w:rFonts w:hint="eastAsia" w:ascii="宋体" w:hAnsi="宋体" w:eastAsia="宋体" w:cs="宋体"/>
          <w:sz w:val="28"/>
          <w:szCs w:val="28"/>
        </w:rPr>
      </w:pPr>
      <w:bookmarkStart w:id="80" w:name="_Toc149058581"/>
      <w:r>
        <w:rPr>
          <w:rFonts w:hint="eastAsia" w:ascii="宋体" w:hAnsi="宋体" w:eastAsia="宋体" w:cs="宋体"/>
          <w:sz w:val="28"/>
          <w:szCs w:val="28"/>
        </w:rPr>
        <w:t>数据治理系统</w:t>
      </w:r>
      <w:bookmarkEnd w:id="80"/>
    </w:p>
    <w:p>
      <w:pPr>
        <w:spacing w:line="360" w:lineRule="auto"/>
        <w:ind w:firstLine="480"/>
        <w:rPr>
          <w:rFonts w:hint="eastAsia" w:ascii="宋体" w:hAnsi="宋体" w:eastAsia="宋体" w:cs="宋体"/>
          <w:sz w:val="24"/>
          <w:szCs w:val="36"/>
        </w:rPr>
      </w:pPr>
      <w:r>
        <w:rPr>
          <w:rFonts w:hint="eastAsia" w:ascii="宋体" w:hAnsi="宋体" w:eastAsia="宋体" w:cs="宋体"/>
          <w:sz w:val="24"/>
          <w:szCs w:val="36"/>
        </w:rPr>
        <w:t>按照应急管理部及省厅对应急管理数据处理要求，提供包含数据接入、数据处理、数据服务、数据管控、数据共享交换等功能，实现临汾市应急管理部门内、外部应急基础信息数据的汇聚、治理，并与省厅数据治理系统互联互通。</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数据接入</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数据接入主要实现应急管理领域相关内外部门数据等全域数据的接入，通过统一接入，将源数据集中存储至原始库。利用数据抽取、消息服务、数据交换、填报采集等技术手段，解决信息资源在集中汇聚时面临的分散孤立、源头多样、跨网传输等问题，为应急管理领域数据资源的汇聚集中、统一标准化处理和信息资源池构建提供源数据支撑。数据接入须包含数据探查、读取、对账、断点续传、任务管理、加密解密、数据分发、接入统计等功能。</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数据处理</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数据处理主要是针对数据接入系统汇聚的结构化数据记录、半结构化文本等具体数据内容建立标准化的数据处理模式，经过处理后的数据存储在应急管理数据资源池中。数据处理须提供数据提取、清洗、转换、去重、补全、关联、比对、标识、融合等功能。</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数据管控</w:t>
      </w:r>
    </w:p>
    <w:p>
      <w:pPr>
        <w:spacing w:line="360" w:lineRule="auto"/>
        <w:ind w:firstLine="480"/>
        <w:rPr>
          <w:rFonts w:hint="eastAsia" w:ascii="宋体" w:hAnsi="宋体" w:eastAsia="宋体" w:cs="宋体"/>
          <w:sz w:val="22"/>
          <w:szCs w:val="24"/>
        </w:rPr>
      </w:pPr>
      <w:r>
        <w:rPr>
          <w:rFonts w:hint="eastAsia" w:ascii="宋体" w:hAnsi="宋体" w:eastAsia="宋体" w:cs="宋体"/>
          <w:sz w:val="24"/>
          <w:szCs w:val="28"/>
        </w:rPr>
        <w:t>数据管控主要是对数据资源进行全生命周期的过程控制和质量监督，通过规范化的数据管控，实现数据资源的透明、可管、可控，厘清数据资产、提升数据质量、保障数据安全使用、促进数据流通。数据管控须提供数据标准管理、元数据管理、资源目录管理、数据字典管理、数据质量管理和数据网盘等功能。</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数据服务</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数据服务系统提供分类的多渠道、多维度的数据服务模式，面向基层用户提供查询检索、数据比对、数据订阅等基础数据服务，所有的服务统一鉴权实现对外开放共享。数据服务须包含数据服务开放平台、数据服务目录、数据治理可视化、数据运维服务等功能。</w:t>
      </w:r>
    </w:p>
    <w:p>
      <w:pPr>
        <w:pStyle w:val="9"/>
        <w:numPr>
          <w:ilvl w:val="0"/>
          <w:numId w:val="0"/>
        </w:numPr>
        <w:ind w:leftChars="0"/>
        <w:rPr>
          <w:rFonts w:hint="eastAsia" w:ascii="宋体" w:hAnsi="宋体" w:eastAsia="宋体" w:cs="宋体"/>
          <w:sz w:val="28"/>
          <w:szCs w:val="28"/>
        </w:rPr>
      </w:pPr>
      <w:r>
        <w:rPr>
          <w:rFonts w:hint="eastAsia" w:ascii="宋体" w:hAnsi="宋体" w:eastAsia="宋体" w:cs="宋体"/>
          <w:sz w:val="28"/>
          <w:szCs w:val="28"/>
        </w:rPr>
        <w:t>数据共享交换</w:t>
      </w:r>
    </w:p>
    <w:p>
      <w:pPr>
        <w:spacing w:line="360" w:lineRule="auto"/>
        <w:ind w:firstLine="480"/>
        <w:rPr>
          <w:rFonts w:hint="eastAsia" w:ascii="宋体" w:hAnsi="宋体" w:eastAsia="宋体" w:cs="宋体"/>
          <w:sz w:val="24"/>
          <w:szCs w:val="28"/>
        </w:rPr>
      </w:pPr>
      <w:r>
        <w:rPr>
          <w:rFonts w:hint="eastAsia" w:ascii="宋体" w:hAnsi="宋体" w:eastAsia="宋体" w:cs="宋体"/>
          <w:sz w:val="24"/>
          <w:szCs w:val="28"/>
        </w:rPr>
        <w:t>数据共享交换系统是将治理好的数据通过数据共享交换中心对外提供给各业务科室和横向各委办局使用。数据共享交换建立了一套数据资源浏览、数据申请、申请审核、数据下发、数据订阅的共享交换流程。数据共享交换须包含数据资源门户、资源目录编制、资源目录审批、信息资源订阅、数据资源交换、共享交换分析、数据交换传输、数据交换监控等功能。</w:t>
      </w:r>
    </w:p>
    <w:p>
      <w:pPr>
        <w:pStyle w:val="8"/>
        <w:numPr>
          <w:ilvl w:val="0"/>
          <w:numId w:val="0"/>
        </w:numPr>
        <w:ind w:leftChars="0"/>
        <w:rPr>
          <w:rFonts w:hint="eastAsia" w:ascii="宋体" w:hAnsi="宋体" w:eastAsia="宋体" w:cs="宋体"/>
          <w:sz w:val="28"/>
          <w:szCs w:val="28"/>
        </w:rPr>
      </w:pPr>
      <w:bookmarkStart w:id="81" w:name="_Hlk152093077"/>
      <w:r>
        <w:rPr>
          <w:rFonts w:hint="eastAsia" w:ascii="宋体" w:hAnsi="宋体" w:eastAsia="宋体" w:cs="宋体"/>
          <w:sz w:val="28"/>
          <w:szCs w:val="28"/>
        </w:rPr>
        <w:t>网络通讯专线</w:t>
      </w:r>
    </w:p>
    <w:p>
      <w:pPr>
        <w:pStyle w:val="30"/>
        <w:spacing w:line="360" w:lineRule="auto"/>
        <w:ind w:firstLine="480"/>
        <w:rPr>
          <w:rFonts w:hint="eastAsia" w:ascii="宋体" w:hAnsi="宋体" w:eastAsia="宋体" w:cs="宋体"/>
          <w:sz w:val="24"/>
          <w:szCs w:val="24"/>
        </w:rPr>
      </w:pPr>
      <w:r>
        <w:rPr>
          <w:rFonts w:hint="eastAsia" w:ascii="宋体" w:hAnsi="宋体" w:eastAsia="宋体" w:cs="宋体"/>
          <w:sz w:val="24"/>
          <w:szCs w:val="24"/>
        </w:rPr>
        <w:t>须充分考虑网络通讯专线，主要包括应急指挥中心到</w:t>
      </w:r>
      <w:r>
        <w:rPr>
          <w:rFonts w:hint="eastAsia" w:ascii="宋体" w:hAnsi="宋体" w:cs="宋体"/>
          <w:sz w:val="24"/>
          <w:szCs w:val="24"/>
          <w:lang w:val="en-US" w:eastAsia="zh-CN"/>
        </w:rPr>
        <w:t>相关部门专线3</w:t>
      </w:r>
      <w:r>
        <w:rPr>
          <w:rFonts w:hint="eastAsia" w:ascii="宋体" w:hAnsi="宋体" w:eastAsia="宋体" w:cs="宋体"/>
          <w:sz w:val="24"/>
          <w:szCs w:val="24"/>
        </w:rPr>
        <w:t>条，带宽≥20Mbps</w:t>
      </w:r>
      <w:r>
        <w:rPr>
          <w:rFonts w:hint="eastAsia" w:ascii="宋体" w:hAnsi="宋体" w:cs="宋体"/>
          <w:sz w:val="24"/>
          <w:szCs w:val="24"/>
          <w:lang w:eastAsia="zh-CN"/>
        </w:rPr>
        <w:t>。</w:t>
      </w:r>
    </w:p>
    <w:bookmarkEnd w:id="81"/>
    <w:p>
      <w:pPr>
        <w:pStyle w:val="6"/>
        <w:numPr>
          <w:ilvl w:val="0"/>
          <w:numId w:val="0"/>
        </w:numPr>
        <w:rPr>
          <w:rFonts w:hint="eastAsia" w:ascii="宋体" w:hAnsi="宋体" w:eastAsia="宋体" w:cs="宋体"/>
          <w:sz w:val="28"/>
          <w:szCs w:val="36"/>
        </w:rPr>
      </w:pPr>
      <w:r>
        <w:rPr>
          <w:rFonts w:hint="eastAsia" w:ascii="宋体" w:hAnsi="宋体" w:eastAsia="宋体" w:cs="宋体"/>
          <w:sz w:val="28"/>
          <w:szCs w:val="36"/>
        </w:rPr>
        <w:t>项目交付要求</w:t>
      </w:r>
    </w:p>
    <w:p>
      <w:pPr>
        <w:pStyle w:val="8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1、合同履行期限：自合同生效后（180）日历天。</w:t>
      </w:r>
    </w:p>
    <w:p>
      <w:pPr>
        <w:pStyle w:val="8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2、交付地点：临汾市应急管理局</w:t>
      </w:r>
    </w:p>
    <w:p>
      <w:pPr>
        <w:pStyle w:val="6"/>
        <w:numPr>
          <w:ilvl w:val="0"/>
          <w:numId w:val="0"/>
        </w:numPr>
        <w:rPr>
          <w:rFonts w:hint="eastAsia" w:ascii="宋体" w:hAnsi="宋体" w:eastAsia="宋体" w:cs="宋体"/>
          <w:sz w:val="28"/>
          <w:szCs w:val="36"/>
        </w:rPr>
      </w:pPr>
      <w:r>
        <w:rPr>
          <w:rFonts w:hint="eastAsia" w:ascii="宋体" w:hAnsi="宋体" w:eastAsia="宋体" w:cs="宋体"/>
          <w:sz w:val="28"/>
          <w:szCs w:val="36"/>
        </w:rPr>
        <w:t>技术清单</w:t>
      </w:r>
    </w:p>
    <w:tbl>
      <w:tblPr>
        <w:tblStyle w:val="32"/>
        <w:tblW w:w="5000" w:type="pct"/>
        <w:tblInd w:w="0" w:type="dxa"/>
        <w:tblLayout w:type="autofit"/>
        <w:tblCellMar>
          <w:top w:w="0" w:type="dxa"/>
          <w:left w:w="108" w:type="dxa"/>
          <w:bottom w:w="0" w:type="dxa"/>
          <w:right w:w="108" w:type="dxa"/>
        </w:tblCellMar>
      </w:tblPr>
      <w:tblGrid>
        <w:gridCol w:w="978"/>
        <w:gridCol w:w="7182"/>
        <w:gridCol w:w="851"/>
        <w:gridCol w:w="951"/>
      </w:tblGrid>
      <w:tr>
        <w:tblPrEx>
          <w:tblCellMar>
            <w:top w:w="0" w:type="dxa"/>
            <w:left w:w="108" w:type="dxa"/>
            <w:bottom w:w="0" w:type="dxa"/>
            <w:right w:w="108" w:type="dxa"/>
          </w:tblCellMar>
        </w:tblPrEx>
        <w:trPr>
          <w:trHeight w:val="260" w:hRule="atLeast"/>
          <w:tblHeader/>
        </w:trPr>
        <w:tc>
          <w:tcPr>
            <w:tcW w:w="491"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3604" w:type="pct"/>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名称</w:t>
            </w:r>
          </w:p>
        </w:tc>
        <w:tc>
          <w:tcPr>
            <w:tcW w:w="427" w:type="pct"/>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单位</w:t>
            </w:r>
          </w:p>
        </w:tc>
        <w:tc>
          <w:tcPr>
            <w:tcW w:w="476" w:type="pct"/>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一</w:t>
            </w:r>
          </w:p>
        </w:tc>
        <w:tc>
          <w:tcPr>
            <w:tcW w:w="4508" w:type="pct"/>
            <w:gridSpan w:val="3"/>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应急管理综合系统</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（一）</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应急综合信息门户</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工作任务区</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政务服务区</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信息综合展示区</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业务入口</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（二）</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应急管理综合一张图</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基础信息一张图</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辖区基础情况</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监测数据</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视频图像信息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企业分布</w:t>
            </w:r>
            <w:r>
              <w:rPr>
                <w:rFonts w:hint="eastAsia" w:ascii="宋体" w:hAnsi="宋体" w:cs="宋体"/>
                <w:color w:val="000000"/>
                <w:kern w:val="0"/>
                <w:sz w:val="22"/>
                <w:szCs w:val="22"/>
                <w:lang w:val="en-US" w:eastAsia="zh-CN"/>
              </w:rPr>
              <w:t>情况</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应急资源信息</w:t>
            </w:r>
            <w:r>
              <w:rPr>
                <w:rFonts w:hint="eastAsia" w:ascii="宋体" w:hAnsi="宋体" w:cs="宋体"/>
                <w:color w:val="000000"/>
                <w:kern w:val="0"/>
                <w:sz w:val="22"/>
                <w:szCs w:val="22"/>
                <w:lang w:val="en-US" w:eastAsia="zh-CN"/>
              </w:rPr>
              <w:t>情况</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安全生产态势一张图</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安全生产信息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隐患信息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“两重点一重大”信息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整体监测监控信息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报警预警信息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自然灾害态势一张图</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自然灾害监测预警</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自然灾害防灾减灾态势</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自然灾害事件动态</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突发事件态势一张图</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突发事件总体统计</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当前突发事件处置情况汇总</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二</w:t>
            </w:r>
          </w:p>
        </w:tc>
        <w:tc>
          <w:tcPr>
            <w:tcW w:w="4508" w:type="pct"/>
            <w:gridSpan w:val="3"/>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隐患排查治理系统</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企业基本情况</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企业基本信息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许可证照信息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安全生产管理信息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企业示意图信息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生产工艺信息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重大危险源信息管理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重大危险源信息管理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危险源信息台账导出</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隐患排查治理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隐患排查计划</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隐患排查任务</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隐患排查记录</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隐患整改验收</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隐患台账</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9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隐患库</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隐患辅助决策</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全市隐患趋势统计</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全市隐患核销趋势分析</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全市重大隐患数量趋势分析</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各区/县隐患趋势分析</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各区/县隐患核销耗时分析</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安全隐患排查工作考核情况</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移动端</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企业APP</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政府APP</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三</w:t>
            </w:r>
          </w:p>
        </w:tc>
        <w:tc>
          <w:tcPr>
            <w:tcW w:w="4508" w:type="pct"/>
            <w:gridSpan w:val="3"/>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信息资源服务</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（一）</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数据资源池</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原始库</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资源库</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主题库</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专题库</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配置库</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（二）</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信息资源规划</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信息资源分类</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信息资源目录编制</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（三）</w:t>
            </w:r>
          </w:p>
        </w:tc>
        <w:tc>
          <w:tcPr>
            <w:tcW w:w="4508" w:type="pct"/>
            <w:gridSpan w:val="3"/>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系统对接与集成</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系统对接</w:t>
            </w:r>
          </w:p>
        </w:tc>
        <w:tc>
          <w:tcPr>
            <w:tcW w:w="427"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default" w:ascii="宋体" w:hAnsi="宋体" w:eastAsia="宋体" w:cs="宋体"/>
                <w:b/>
                <w:bCs/>
                <w:color w:val="000000"/>
                <w:kern w:val="0"/>
                <w:sz w:val="22"/>
                <w:szCs w:val="22"/>
                <w:lang w:val="en-US" w:eastAsia="zh-CN"/>
              </w:rPr>
            </w:pPr>
            <w:r>
              <w:rPr>
                <w:rFonts w:hint="eastAsia" w:ascii="宋体" w:hAnsi="宋体" w:cs="宋体"/>
                <w:b w:val="0"/>
                <w:bCs w:val="0"/>
                <w:color w:val="000000"/>
                <w:kern w:val="0"/>
                <w:sz w:val="22"/>
                <w:szCs w:val="22"/>
                <w:lang w:val="en-US" w:eastAsia="zh-CN"/>
              </w:rPr>
              <w:t>1.1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color w:val="000000"/>
                <w:kern w:val="0"/>
                <w:sz w:val="22"/>
                <w:szCs w:val="22"/>
                <w:lang w:val="en-US" w:eastAsia="zh-CN"/>
              </w:rPr>
              <w:t>建设煤矿安全生产风险监测预警系统，逐步完成全市煤矿监控系统建立和三大系统统连接。</w:t>
            </w:r>
          </w:p>
        </w:tc>
        <w:tc>
          <w:tcPr>
            <w:tcW w:w="427"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981"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与应急管理部统建系统集成，集成系统包含应急指挥一张图、防汛抗旱一张图、全国应急避难场所综合信息管理服务系统、应急资源管理平台、国家应急指挥综合业务系统、网罗天下、“互联网+执法”系统。</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981"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与山西省应急管理厅系统对接，包含山西省尾矿库安全生产风险监测预警系统、山西省危险化学品安全生产风险监测预警系统、山西省危险化学品管道应急管理信息系统、山西省应急指挥救援信息系统。</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tblPrEx>
          <w:tblCellMar>
            <w:top w:w="0" w:type="dxa"/>
            <w:left w:w="108" w:type="dxa"/>
            <w:bottom w:w="0" w:type="dxa"/>
            <w:right w:w="108" w:type="dxa"/>
          </w:tblCellMar>
        </w:tblPrEx>
        <w:trPr>
          <w:trHeight w:val="52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与市应急管理局系统对接，包含市应急管理局安全生产监管信息平台、市应急管理局卫星遥感森林火灾应急监测预警系统。</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w:t>
            </w:r>
            <w:r>
              <w:rPr>
                <w:rFonts w:hint="eastAsia" w:ascii="宋体" w:hAnsi="宋体" w:cs="宋体"/>
                <w:color w:val="000000"/>
                <w:kern w:val="0"/>
                <w:sz w:val="22"/>
                <w:szCs w:val="22"/>
                <w:lang w:val="en-US" w:eastAsia="zh-CN"/>
              </w:rPr>
              <w:t>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与市</w:t>
            </w:r>
            <w:r>
              <w:rPr>
                <w:rFonts w:hint="eastAsia" w:ascii="宋体" w:hAnsi="宋体" w:cs="宋体"/>
                <w:color w:val="000000"/>
                <w:kern w:val="0"/>
                <w:sz w:val="22"/>
                <w:szCs w:val="22"/>
                <w:lang w:val="en-US" w:eastAsia="zh-CN"/>
              </w:rPr>
              <w:t>相关部门</w:t>
            </w:r>
            <w:r>
              <w:rPr>
                <w:rFonts w:hint="eastAsia" w:ascii="宋体" w:hAnsi="宋体" w:eastAsia="宋体" w:cs="宋体"/>
                <w:color w:val="000000"/>
                <w:kern w:val="0"/>
                <w:sz w:val="22"/>
                <w:szCs w:val="22"/>
              </w:rPr>
              <w:t>已建系统对接。</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系统集成</w:t>
            </w:r>
          </w:p>
        </w:tc>
        <w:tc>
          <w:tcPr>
            <w:tcW w:w="427"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78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与应急管理部统建系统集成，包含应急指挥一张图、防汛抗旱一张图、全国应急避难场所综合信息管理服务系统、应急资源管理平台、国家应急指挥综合业务系统、网罗天下、“互联网+执法”系统。</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78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与山西省应急管理厅系统集成，包含山西省尾矿库安全生产风险监测预警系统、山西省危险化学品安全生产风险监测预警系统、山西省危险化学品管道应急管理信息系统、山西省应急指挥救援信息系统。</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52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与市应急管理局已建信息化系统集成，包含安全生产监管信息平台、卫星遥感森林火灾应急监测预警系统。</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52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1"/>
                <w:szCs w:val="21"/>
              </w:rPr>
              <w:t>与市级安委会成员单位信息化系统集成</w:t>
            </w:r>
            <w:r>
              <w:rPr>
                <w:rFonts w:hint="eastAsia" w:ascii="宋体" w:hAnsi="宋体" w:cs="宋体"/>
                <w:color w:val="000000"/>
                <w:kern w:val="0"/>
                <w:sz w:val="21"/>
                <w:szCs w:val="21"/>
                <w:lang w:eastAsia="zh-CN"/>
              </w:rPr>
              <w:t>。</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四</w:t>
            </w:r>
          </w:p>
        </w:tc>
        <w:tc>
          <w:tcPr>
            <w:tcW w:w="4508" w:type="pct"/>
            <w:gridSpan w:val="3"/>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数据治理</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数据接入</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数据探查</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数据读取</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数据对账</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断点续传</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任务管理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加密解密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数据分发</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接入统计</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数据处理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数据提取</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数据清洗</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数据转换</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数据去重</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数据补全</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数据关联</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数据比对</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数据标识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数据融合</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数据管控</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数据标准管理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元数据管理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资源目录管理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标准字典表管理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数据质量管理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数据血缘管理</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数据网盘</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4</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数据服务</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数据服务开放平台</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数据服务目录</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数据治理可视化</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数据运维服务</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5</w:t>
            </w:r>
          </w:p>
        </w:tc>
        <w:tc>
          <w:tcPr>
            <w:tcW w:w="3604"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数据共享交换</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9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数据资源门户</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5.2</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资源目录编制</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5.3</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资源目录审批</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5.4</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信息资源订阅</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5.5</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数据资源交换</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5.6</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共享交换分析</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5.7</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数据交换传输</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5.8</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数据交换监控</w:t>
            </w:r>
          </w:p>
        </w:tc>
        <w:tc>
          <w:tcPr>
            <w:tcW w:w="427"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w:t>
            </w:r>
          </w:p>
        </w:tc>
        <w:tc>
          <w:tcPr>
            <w:tcW w:w="476" w:type="pct"/>
            <w:tcBorders>
              <w:top w:val="nil"/>
              <w:left w:val="nil"/>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五</w:t>
            </w:r>
          </w:p>
        </w:tc>
        <w:tc>
          <w:tcPr>
            <w:tcW w:w="4508" w:type="pct"/>
            <w:gridSpan w:val="3"/>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网络通讯专线</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应急指挥中心到</w:t>
            </w:r>
            <w:r>
              <w:rPr>
                <w:rFonts w:hint="eastAsia" w:ascii="宋体" w:hAnsi="宋体" w:cs="宋体"/>
                <w:color w:val="000000"/>
                <w:kern w:val="0"/>
                <w:sz w:val="22"/>
                <w:szCs w:val="22"/>
                <w:lang w:val="en-US" w:eastAsia="zh-CN"/>
              </w:rPr>
              <w:t>相关部门</w:t>
            </w:r>
            <w:r>
              <w:rPr>
                <w:rFonts w:hint="eastAsia" w:ascii="宋体" w:hAnsi="宋体" w:eastAsia="宋体" w:cs="宋体"/>
                <w:color w:val="000000"/>
                <w:kern w:val="0"/>
                <w:sz w:val="22"/>
                <w:szCs w:val="22"/>
              </w:rPr>
              <w:t>专线，带宽≥20Mbps</w:t>
            </w:r>
          </w:p>
        </w:tc>
        <w:tc>
          <w:tcPr>
            <w:tcW w:w="427"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条</w:t>
            </w:r>
          </w:p>
        </w:tc>
        <w:tc>
          <w:tcPr>
            <w:tcW w:w="476"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val="en-US" w:eastAsia="zh-CN"/>
              </w:rPr>
              <w:t>3</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0"/>
            <w:vAlign w:val="center"/>
          </w:tcPr>
          <w:p>
            <w:pPr>
              <w:widowControl/>
              <w:adjustRightInd/>
              <w:snapToGrid/>
              <w:spacing w:line="360" w:lineRule="auto"/>
              <w:ind w:firstLine="0" w:firstLineChars="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六</w:t>
            </w:r>
          </w:p>
        </w:tc>
        <w:tc>
          <w:tcPr>
            <w:tcW w:w="4508" w:type="pct"/>
            <w:gridSpan w:val="3"/>
            <w:tcBorders>
              <w:top w:val="single" w:color="auto" w:sz="4" w:space="0"/>
              <w:left w:val="nil"/>
              <w:bottom w:val="single" w:color="auto" w:sz="4" w:space="0"/>
              <w:right w:val="single" w:color="auto" w:sz="4" w:space="0"/>
            </w:tcBorders>
            <w:noWrap w:val="0"/>
            <w:vAlign w:val="center"/>
          </w:tcPr>
          <w:p>
            <w:pPr>
              <w:widowControl/>
              <w:adjustRightInd/>
              <w:snapToGrid/>
              <w:spacing w:line="360" w:lineRule="auto"/>
              <w:ind w:firstLine="0" w:firstLineChars="0"/>
              <w:jc w:val="left"/>
              <w:rPr>
                <w:rFonts w:hint="eastAsia" w:ascii="宋体" w:hAnsi="宋体" w:eastAsia="宋体" w:cs="宋体"/>
                <w:b/>
                <w:bCs/>
                <w:kern w:val="0"/>
                <w:sz w:val="22"/>
                <w:szCs w:val="22"/>
              </w:rPr>
            </w:pPr>
            <w:r>
              <w:rPr>
                <w:rFonts w:hint="eastAsia" w:ascii="宋体" w:hAnsi="宋体" w:eastAsia="宋体" w:cs="宋体"/>
                <w:b/>
                <w:bCs/>
                <w:kern w:val="0"/>
                <w:sz w:val="22"/>
                <w:szCs w:val="22"/>
              </w:rPr>
              <w:t>其他</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安全等级保护测评费（等保三级）</w:t>
            </w:r>
          </w:p>
        </w:tc>
        <w:tc>
          <w:tcPr>
            <w:tcW w:w="427"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项</w:t>
            </w:r>
          </w:p>
        </w:tc>
        <w:tc>
          <w:tcPr>
            <w:tcW w:w="476"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第三方软件测试费</w:t>
            </w:r>
          </w:p>
        </w:tc>
        <w:tc>
          <w:tcPr>
            <w:tcW w:w="427"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项</w:t>
            </w:r>
          </w:p>
        </w:tc>
        <w:tc>
          <w:tcPr>
            <w:tcW w:w="476"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r>
      <w:tr>
        <w:tblPrEx>
          <w:tblCellMar>
            <w:top w:w="0" w:type="dxa"/>
            <w:left w:w="108" w:type="dxa"/>
            <w:bottom w:w="0" w:type="dxa"/>
            <w:right w:w="108" w:type="dxa"/>
          </w:tblCellMar>
        </w:tblPrEx>
        <w:trPr>
          <w:trHeight w:val="260" w:hRule="atLeast"/>
        </w:trPr>
        <w:tc>
          <w:tcPr>
            <w:tcW w:w="491" w:type="pct"/>
            <w:tcBorders>
              <w:top w:val="nil"/>
              <w:left w:val="single" w:color="auto" w:sz="4" w:space="0"/>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3604"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left"/>
              <w:rPr>
                <w:rFonts w:hint="eastAsia" w:ascii="宋体" w:hAnsi="宋体" w:eastAsia="宋体" w:cs="宋体"/>
                <w:kern w:val="0"/>
                <w:sz w:val="22"/>
                <w:szCs w:val="22"/>
              </w:rPr>
            </w:pPr>
            <w:r>
              <w:rPr>
                <w:rFonts w:hint="eastAsia" w:ascii="宋体" w:hAnsi="宋体" w:eastAsia="宋体" w:cs="宋体"/>
                <w:kern w:val="0"/>
                <w:sz w:val="22"/>
                <w:szCs w:val="22"/>
              </w:rPr>
              <w:t>密评费</w:t>
            </w:r>
          </w:p>
        </w:tc>
        <w:tc>
          <w:tcPr>
            <w:tcW w:w="427"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项</w:t>
            </w:r>
          </w:p>
        </w:tc>
        <w:tc>
          <w:tcPr>
            <w:tcW w:w="476" w:type="pct"/>
            <w:tcBorders>
              <w:top w:val="nil"/>
              <w:left w:val="nil"/>
              <w:bottom w:val="single" w:color="auto" w:sz="4" w:space="0"/>
              <w:right w:val="single" w:color="auto" w:sz="4" w:space="0"/>
            </w:tcBorders>
            <w:noWrap/>
            <w:vAlign w:val="center"/>
          </w:tcPr>
          <w:p>
            <w:pPr>
              <w:widowControl/>
              <w:adjustRightInd/>
              <w:snapToGrid/>
              <w:spacing w:line="360" w:lineRule="auto"/>
              <w:ind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r>
    </w:tbl>
    <w:p>
      <w:pPr>
        <w:widowControl/>
        <w:jc w:val="left"/>
        <w:rPr>
          <w:rFonts w:hint="eastAsia" w:ascii="宋体" w:hAnsi="宋体" w:eastAsia="宋体" w:cs="宋体"/>
        </w:rPr>
      </w:pPr>
      <w:r>
        <w:rPr>
          <w:rFonts w:hint="eastAsia" w:ascii="宋体" w:hAnsi="宋体" w:eastAsia="宋体" w:cs="宋体"/>
        </w:rPr>
        <w:br w:type="page"/>
      </w:r>
    </w:p>
    <w:p>
      <w:pPr>
        <w:pStyle w:val="5"/>
        <w:spacing w:line="240" w:lineRule="auto"/>
        <w:rPr>
          <w:rFonts w:hint="eastAsia" w:ascii="宋体" w:hAnsi="宋体" w:eastAsia="宋体" w:cs="宋体"/>
          <w:szCs w:val="28"/>
        </w:rPr>
      </w:pPr>
      <w:bookmarkStart w:id="82" w:name="_Toc5726"/>
      <w:r>
        <w:rPr>
          <w:rFonts w:hint="eastAsia" w:ascii="宋体" w:hAnsi="宋体" w:eastAsia="宋体" w:cs="宋体"/>
        </w:rPr>
        <w:t>第五部分 资格审查内容及标准</w:t>
      </w:r>
      <w:bookmarkEnd w:id="82"/>
    </w:p>
    <w:p>
      <w:pPr>
        <w:pStyle w:val="61"/>
        <w:snapToGrid w:val="0"/>
        <w:spacing w:line="480" w:lineRule="exact"/>
        <w:rPr>
          <w:rFonts w:hint="eastAsia" w:ascii="宋体" w:hAnsi="宋体" w:eastAsia="宋体" w:cs="宋体"/>
          <w:b/>
        </w:rPr>
      </w:pPr>
      <w:r>
        <w:rPr>
          <w:rFonts w:hint="eastAsia" w:ascii="宋体" w:hAnsi="宋体" w:eastAsia="宋体" w:cs="宋体"/>
          <w:b/>
        </w:rPr>
        <w:t>资格审查内容及标准</w:t>
      </w:r>
    </w:p>
    <w:tbl>
      <w:tblPr>
        <w:tblStyle w:val="32"/>
        <w:tblW w:w="519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74"/>
        <w:gridCol w:w="3348"/>
        <w:gridCol w:w="62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17" w:type="pct"/>
            <w:tcBorders>
              <w:top w:val="single" w:color="auto" w:sz="2" w:space="0"/>
              <w:left w:val="single" w:color="auto" w:sz="2" w:space="0"/>
              <w:bottom w:val="single" w:color="auto" w:sz="2" w:space="0"/>
              <w:right w:val="single" w:color="auto" w:sz="2" w:space="0"/>
            </w:tcBorders>
          </w:tcPr>
          <w:p>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3008" w:type="pct"/>
            <w:tcBorders>
              <w:top w:val="single" w:color="auto" w:sz="2" w:space="0"/>
              <w:left w:val="single" w:color="auto" w:sz="2" w:space="0"/>
              <w:bottom w:val="single" w:color="auto" w:sz="2" w:space="0"/>
              <w:right w:val="single" w:color="auto" w:sz="2" w:space="0"/>
            </w:tcBorders>
          </w:tcPr>
          <w:p>
            <w:pPr>
              <w:rPr>
                <w:rFonts w:hint="eastAsia" w:ascii="宋体" w:hAnsi="宋体" w:eastAsia="宋体" w:cs="宋体"/>
                <w:sz w:val="24"/>
                <w:szCs w:val="24"/>
              </w:rPr>
            </w:pPr>
            <w:r>
              <w:rPr>
                <w:rFonts w:hint="eastAsia" w:ascii="宋体" w:hAnsi="宋体" w:eastAsia="宋体" w:cs="宋体"/>
                <w:sz w:val="24"/>
                <w:szCs w:val="24"/>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1</w:t>
            </w:r>
          </w:p>
        </w:tc>
        <w:tc>
          <w:tcPr>
            <w:tcW w:w="1617" w:type="pct"/>
            <w:tcBorders>
              <w:top w:val="single" w:color="auto" w:sz="2" w:space="0"/>
              <w:left w:val="single" w:color="auto" w:sz="2" w:space="0"/>
              <w:bottom w:val="single" w:color="auto" w:sz="2" w:space="0"/>
              <w:right w:val="single" w:color="auto" w:sz="2" w:space="0"/>
            </w:tcBorders>
            <w:vAlign w:val="center"/>
          </w:tcPr>
          <w:p>
            <w:pPr>
              <w:spacing w:line="240" w:lineRule="auto"/>
              <w:jc w:val="both"/>
              <w:rPr>
                <w:rFonts w:hint="eastAsia" w:ascii="宋体" w:hAnsi="宋体" w:eastAsia="宋体" w:cs="宋体"/>
                <w:color w:val="auto"/>
                <w:sz w:val="24"/>
                <w:szCs w:val="24"/>
                <w:highlight w:val="none"/>
              </w:rPr>
            </w:pPr>
          </w:p>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代表证明</w:t>
            </w:r>
          </w:p>
        </w:tc>
        <w:tc>
          <w:tcPr>
            <w:tcW w:w="3008" w:type="pct"/>
            <w:tcBorders>
              <w:top w:val="single" w:color="auto" w:sz="2" w:space="0"/>
              <w:left w:val="single" w:color="auto" w:sz="2" w:space="0"/>
              <w:bottom w:val="single" w:color="auto" w:sz="2" w:space="0"/>
              <w:right w:val="single" w:color="auto" w:sz="2" w:space="0"/>
            </w:tcBorders>
            <w:vAlign w:val="center"/>
          </w:tcPr>
          <w:p>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（1）法定代表人（负责人）参加</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的，提供“法定代表人（负责人）证明书”</w:t>
            </w:r>
          </w:p>
          <w:p>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（2）委托代理人参加</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的，提供“法定代表人（负责人）授权委托书”</w:t>
            </w:r>
          </w:p>
          <w:p>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（3）自然人参加</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的，提供个人身份证明扫描件</w:t>
            </w:r>
          </w:p>
          <w:p>
            <w:pPr>
              <w:spacing w:line="240" w:lineRule="auto"/>
              <w:jc w:val="both"/>
              <w:rPr>
                <w:rFonts w:hint="eastAsia" w:ascii="宋体" w:hAnsi="宋体" w:eastAsia="宋体" w:cs="宋体"/>
                <w:sz w:val="24"/>
                <w:szCs w:val="24"/>
              </w:rPr>
            </w:pPr>
            <w:r>
              <w:rPr>
                <w:rFonts w:hint="eastAsia" w:ascii="宋体" w:hAnsi="宋体" w:eastAsia="宋体" w:cs="宋体"/>
                <w:color w:val="auto"/>
                <w:sz w:val="24"/>
                <w:szCs w:val="24"/>
                <w:highlight w:val="none"/>
              </w:rPr>
              <w:t>内容齐全，法人电子签章符合要求。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trPr>
        <w:tc>
          <w:tcPr>
            <w:tcW w:w="374"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2</w:t>
            </w:r>
          </w:p>
        </w:tc>
        <w:tc>
          <w:tcPr>
            <w:tcW w:w="1617"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eastAsia="zh-CN"/>
                <w14:textFill>
                  <w14:solidFill>
                    <w14:schemeClr w14:val="tx1"/>
                  </w14:solidFill>
                </w14:textFill>
              </w:rPr>
              <w:t>响应函</w:t>
            </w:r>
          </w:p>
        </w:tc>
        <w:tc>
          <w:tcPr>
            <w:tcW w:w="3008" w:type="pct"/>
            <w:tcBorders>
              <w:top w:val="single" w:color="auto" w:sz="2" w:space="0"/>
              <w:left w:val="single" w:color="auto" w:sz="2" w:space="0"/>
              <w:bottom w:val="single" w:color="auto" w:sz="2" w:space="0"/>
              <w:right w:val="single" w:color="auto" w:sz="2" w:space="0"/>
            </w:tcBorders>
            <w:vAlign w:val="center"/>
          </w:tcPr>
          <w:p>
            <w:pPr>
              <w:spacing w:line="240" w:lineRule="auto"/>
              <w:jc w:val="both"/>
              <w:rPr>
                <w:rFonts w:hint="eastAsia" w:ascii="宋体" w:hAnsi="宋体" w:eastAsia="宋体" w:cs="宋体"/>
                <w:sz w:val="24"/>
                <w:szCs w:val="24"/>
              </w:rPr>
            </w:pPr>
            <w:r>
              <w:rPr>
                <w:rFonts w:hint="eastAsia" w:ascii="宋体" w:hAnsi="宋体" w:eastAsia="宋体" w:cs="宋体"/>
                <w:color w:val="auto"/>
                <w:sz w:val="24"/>
                <w:szCs w:val="24"/>
                <w:highlight w:val="none"/>
              </w:rPr>
              <w:t>内容齐全，签章符合要求。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3</w:t>
            </w:r>
          </w:p>
        </w:tc>
        <w:tc>
          <w:tcPr>
            <w:tcW w:w="1617"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具有独立承担民事责任的能力</w:t>
            </w:r>
          </w:p>
        </w:tc>
        <w:tc>
          <w:tcPr>
            <w:tcW w:w="3008" w:type="pct"/>
            <w:tcBorders>
              <w:top w:val="single" w:color="auto" w:sz="2" w:space="0"/>
              <w:left w:val="single" w:color="auto" w:sz="2" w:space="0"/>
              <w:bottom w:val="single" w:color="auto" w:sz="2" w:space="0"/>
              <w:right w:val="single" w:color="auto" w:sz="2" w:space="0"/>
            </w:tcBorders>
            <w:vAlign w:val="center"/>
          </w:tcPr>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提供供应商信用承诺书</w:t>
            </w:r>
          </w:p>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以上证明资料须符合要求，有效、完整，否则，响应无效。</w:t>
            </w:r>
          </w:p>
          <w:p>
            <w:pPr>
              <w:spacing w:line="240" w:lineRule="auto"/>
              <w:jc w:val="both"/>
              <w:rPr>
                <w:rFonts w:hint="eastAsia" w:ascii="宋体" w:hAnsi="宋体" w:eastAsia="宋体" w:cs="宋体"/>
                <w:sz w:val="24"/>
                <w:szCs w:val="24"/>
              </w:rPr>
            </w:pPr>
            <w:r>
              <w:rPr>
                <w:rFonts w:hint="eastAsia" w:ascii="宋体" w:hAnsi="宋体" w:eastAsia="宋体" w:cs="宋体"/>
                <w:color w:val="auto"/>
                <w:sz w:val="24"/>
                <w:szCs w:val="24"/>
                <w:highlight w:val="none"/>
              </w:rPr>
              <w:t>任意一项证明文件扫描件清晰。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4</w:t>
            </w:r>
          </w:p>
        </w:tc>
        <w:tc>
          <w:tcPr>
            <w:tcW w:w="1617"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具有良好的商业信誉和健全的财务会计制度</w:t>
            </w:r>
          </w:p>
        </w:tc>
        <w:tc>
          <w:tcPr>
            <w:tcW w:w="3008" w:type="pct"/>
            <w:vMerge w:val="restart"/>
            <w:tcBorders>
              <w:top w:val="single" w:color="auto" w:sz="2" w:space="0"/>
              <w:left w:val="single" w:color="auto" w:sz="2" w:space="0"/>
              <w:bottom w:val="single" w:color="auto" w:sz="2" w:space="0"/>
              <w:right w:val="single" w:color="auto" w:sz="2" w:space="0"/>
            </w:tcBorders>
            <w:vAlign w:val="center"/>
          </w:tcPr>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提供供应商信用承诺书</w:t>
            </w:r>
          </w:p>
          <w:p>
            <w:pPr>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以上证明资料须符合要求，有效、完整，否则，响应无效。</w:t>
            </w:r>
          </w:p>
          <w:p>
            <w:pPr>
              <w:spacing w:line="240" w:lineRule="auto"/>
              <w:jc w:val="both"/>
              <w:rPr>
                <w:rFonts w:hint="eastAsia" w:ascii="宋体" w:hAnsi="宋体" w:eastAsia="宋体" w:cs="宋体"/>
                <w:sz w:val="24"/>
                <w:szCs w:val="24"/>
              </w:rPr>
            </w:pPr>
            <w:r>
              <w:rPr>
                <w:rFonts w:hint="eastAsia" w:ascii="宋体" w:hAnsi="宋体" w:eastAsia="宋体" w:cs="宋体"/>
                <w:color w:val="auto"/>
                <w:sz w:val="24"/>
                <w:szCs w:val="24"/>
                <w:highlight w:val="none"/>
              </w:rPr>
              <w:t>任意一项证明文件的扫描件清晰。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374" w:type="pct"/>
            <w:tcBorders>
              <w:top w:val="single" w:color="auto" w:sz="2" w:space="0"/>
              <w:left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5</w:t>
            </w:r>
          </w:p>
        </w:tc>
        <w:tc>
          <w:tcPr>
            <w:tcW w:w="1617"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具有依法缴纳税收和社会保障资金的良好记录</w:t>
            </w:r>
          </w:p>
        </w:tc>
        <w:tc>
          <w:tcPr>
            <w:tcW w:w="3008" w:type="pct"/>
            <w:vMerge w:val="continue"/>
            <w:tcBorders>
              <w:top w:val="single" w:color="auto" w:sz="2" w:space="0"/>
              <w:left w:val="single" w:color="auto" w:sz="2" w:space="0"/>
              <w:bottom w:val="single" w:color="auto" w:sz="2" w:space="0"/>
              <w:right w:val="single" w:color="auto" w:sz="2" w:space="0"/>
            </w:tcBorders>
            <w:vAlign w:val="center"/>
          </w:tcPr>
          <w:p>
            <w:pPr>
              <w:pStyle w:val="31"/>
              <w:ind w:left="0" w:leftChars="0" w:firstLine="0" w:firstLineChars="0"/>
              <w:jc w:val="both"/>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17"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具有履行合同所必需的设备和专业技术能力</w:t>
            </w:r>
          </w:p>
        </w:tc>
        <w:tc>
          <w:tcPr>
            <w:tcW w:w="3008" w:type="pct"/>
            <w:vMerge w:val="continue"/>
            <w:tcBorders>
              <w:top w:val="single" w:color="auto" w:sz="2" w:space="0"/>
              <w:left w:val="single" w:color="auto" w:sz="2" w:space="0"/>
              <w:bottom w:val="single" w:color="auto" w:sz="2" w:space="0"/>
              <w:right w:val="single" w:color="auto" w:sz="2" w:space="0"/>
            </w:tcBorders>
            <w:vAlign w:val="center"/>
          </w:tcPr>
          <w:p>
            <w:pPr>
              <w:spacing w:line="240" w:lineRule="auto"/>
              <w:jc w:val="both"/>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17"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kern w:val="0"/>
                <w:sz w:val="24"/>
                <w:szCs w:val="24"/>
              </w:rPr>
              <w:t>参加政府采购活动前三年内，在经营活动中没有重大违法记录</w:t>
            </w:r>
          </w:p>
        </w:tc>
        <w:tc>
          <w:tcPr>
            <w:tcW w:w="3008" w:type="pct"/>
            <w:vMerge w:val="continue"/>
            <w:tcBorders>
              <w:top w:val="single" w:color="auto" w:sz="2" w:space="0"/>
              <w:left w:val="single" w:color="auto" w:sz="2" w:space="0"/>
              <w:bottom w:val="single" w:color="auto" w:sz="2" w:space="0"/>
              <w:right w:val="single" w:color="auto" w:sz="2" w:space="0"/>
            </w:tcBorders>
            <w:vAlign w:val="center"/>
          </w:tcPr>
          <w:p>
            <w:pPr>
              <w:spacing w:line="240" w:lineRule="auto"/>
              <w:jc w:val="both"/>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17" w:type="pct"/>
            <w:tcBorders>
              <w:top w:val="single" w:color="auto" w:sz="2" w:space="0"/>
              <w:left w:val="single" w:color="auto" w:sz="2" w:space="0"/>
              <w:bottom w:val="single" w:color="auto" w:sz="2" w:space="0"/>
              <w:right w:val="single" w:color="auto" w:sz="2" w:space="0"/>
            </w:tcBorders>
            <w:vAlign w:val="center"/>
          </w:tcPr>
          <w:p>
            <w:pPr>
              <w:spacing w:line="24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保证金的交纳及开户许可证</w:t>
            </w:r>
          </w:p>
        </w:tc>
        <w:tc>
          <w:tcPr>
            <w:tcW w:w="3008" w:type="pct"/>
            <w:tcBorders>
              <w:top w:val="single" w:color="auto" w:sz="2" w:space="0"/>
              <w:left w:val="single" w:color="auto" w:sz="2" w:space="0"/>
              <w:bottom w:val="single" w:color="auto" w:sz="2" w:space="0"/>
              <w:right w:val="single" w:color="auto" w:sz="2" w:space="0"/>
            </w:tcBorders>
            <w:vAlign w:val="center"/>
          </w:tcPr>
          <w:p>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（1）提供响应保证金交纳证明扫描件；</w:t>
            </w:r>
          </w:p>
          <w:p>
            <w:pPr>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基本存款账户开户许可证（已取消企业银行账户许可的提供银行证明或提供取消企业银行账户许可的相关公告）扫描件。</w:t>
            </w:r>
          </w:p>
          <w:p>
            <w:pPr>
              <w:spacing w:line="240" w:lineRule="auto"/>
              <w:jc w:val="both"/>
              <w:rPr>
                <w:rFonts w:hint="eastAsia" w:ascii="宋体" w:hAnsi="宋体" w:eastAsia="宋体" w:cs="宋体"/>
                <w:sz w:val="24"/>
                <w:szCs w:val="24"/>
              </w:rPr>
            </w:pPr>
            <w:r>
              <w:rPr>
                <w:rFonts w:hint="eastAsia" w:ascii="宋体" w:hAnsi="宋体" w:eastAsia="宋体" w:cs="宋体"/>
                <w:color w:val="auto"/>
                <w:sz w:val="24"/>
                <w:szCs w:val="24"/>
                <w:highlight w:val="none"/>
              </w:rPr>
              <w:t>任意一项证明文件的扫描件清晰。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17" w:type="pct"/>
            <w:tcBorders>
              <w:top w:val="single" w:color="auto" w:sz="2" w:space="0"/>
              <w:left w:val="single" w:color="auto" w:sz="2" w:space="0"/>
              <w:bottom w:val="single" w:color="auto" w:sz="2" w:space="0"/>
              <w:right w:val="single" w:color="auto" w:sz="2" w:space="0"/>
            </w:tcBorders>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联合体磋商协议（若有的话）</w:t>
            </w:r>
          </w:p>
        </w:tc>
        <w:tc>
          <w:tcPr>
            <w:tcW w:w="3008"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sz w:val="24"/>
                <w:szCs w:val="24"/>
              </w:rPr>
            </w:pPr>
            <w:r>
              <w:rPr>
                <w:rFonts w:hint="eastAsia" w:ascii="宋体" w:hAnsi="宋体" w:eastAsia="宋体" w:cs="宋体"/>
                <w:sz w:val="24"/>
                <w:szCs w:val="24"/>
              </w:rPr>
              <w:t>对是否允许代理商磋商进行审查</w:t>
            </w:r>
          </w:p>
          <w:p>
            <w:pPr>
              <w:jc w:val="both"/>
              <w:rPr>
                <w:rFonts w:hint="eastAsia" w:ascii="宋体" w:hAnsi="宋体" w:eastAsia="宋体" w:cs="宋体"/>
                <w:sz w:val="24"/>
                <w:szCs w:val="24"/>
              </w:rPr>
            </w:pPr>
            <w:r>
              <w:rPr>
                <w:rFonts w:hint="eastAsia" w:ascii="宋体" w:hAnsi="宋体" w:eastAsia="宋体" w:cs="宋体"/>
                <w:sz w:val="24"/>
                <w:szCs w:val="24"/>
              </w:rPr>
              <w:t>对是否允许联合体磋商进行审查，如果允许联合体磋商，须对联合体各方签订的联合体协议进行审查，审查的标准为：内容齐全，法人电子签章符合要求。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17" w:type="pct"/>
            <w:tcBorders>
              <w:top w:val="single" w:color="auto" w:sz="2" w:space="0"/>
              <w:left w:val="single" w:color="auto" w:sz="2" w:space="0"/>
              <w:bottom w:val="single" w:color="auto" w:sz="2" w:space="0"/>
              <w:right w:val="single" w:color="auto" w:sz="2"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落实政府采购政策需满足的资格要求</w:t>
            </w:r>
          </w:p>
        </w:tc>
        <w:tc>
          <w:tcPr>
            <w:tcW w:w="3008"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供应商</w:t>
            </w:r>
            <w:r>
              <w:rPr>
                <w:rFonts w:hint="eastAsia" w:ascii="宋体" w:hAnsi="宋体" w:eastAsia="宋体" w:cs="宋体"/>
                <w:sz w:val="24"/>
                <w:szCs w:val="24"/>
                <w:lang w:val="en-US" w:eastAsia="zh-CN"/>
              </w:rPr>
              <w:t>为中小企业。</w:t>
            </w:r>
          </w:p>
          <w:p>
            <w:pPr>
              <w:jc w:val="both"/>
              <w:rPr>
                <w:rFonts w:hint="eastAsia" w:ascii="宋体" w:hAnsi="宋体" w:eastAsia="宋体" w:cs="宋体"/>
                <w:sz w:val="24"/>
                <w:szCs w:val="24"/>
                <w:lang w:val="en-US" w:eastAsia="zh-CN"/>
              </w:rPr>
            </w:pPr>
            <w:r>
              <w:rPr>
                <w:rFonts w:hint="eastAsia" w:ascii="宋体" w:hAnsi="宋体" w:eastAsia="宋体" w:cs="宋体"/>
                <w:sz w:val="24"/>
                <w:szCs w:val="24"/>
              </w:rPr>
              <w:t>提供符合本项目落实政府采购政策需满足的资格</w:t>
            </w:r>
            <w:r>
              <w:rPr>
                <w:rFonts w:hint="eastAsia" w:ascii="宋体" w:hAnsi="宋体" w:eastAsia="宋体" w:cs="宋体"/>
                <w:sz w:val="24"/>
                <w:szCs w:val="24"/>
                <w:lang w:val="en-US" w:eastAsia="zh-CN"/>
              </w:rPr>
              <w:t>要求</w:t>
            </w:r>
            <w:r>
              <w:rPr>
                <w:rFonts w:hint="eastAsia" w:ascii="宋体" w:hAnsi="宋体" w:eastAsia="宋体" w:cs="宋体"/>
                <w:sz w:val="24"/>
                <w:szCs w:val="24"/>
              </w:rPr>
              <w:t>的相关证明</w:t>
            </w:r>
            <w:r>
              <w:rPr>
                <w:rFonts w:hint="eastAsia" w:ascii="宋体" w:hAnsi="宋体" w:eastAsia="宋体" w:cs="宋体"/>
                <w:sz w:val="24"/>
                <w:szCs w:val="24"/>
                <w:lang w:eastAsia="zh-CN"/>
              </w:rPr>
              <w:t>资料，详细要求见</w:t>
            </w:r>
            <w:r>
              <w:rPr>
                <w:rFonts w:hint="eastAsia" w:ascii="宋体" w:hAnsi="宋体" w:eastAsia="宋体" w:cs="宋体"/>
                <w:sz w:val="24"/>
                <w:szCs w:val="24"/>
                <w:lang w:val="en-US" w:eastAsia="zh-CN"/>
              </w:rPr>
              <w:t>磋商</w:t>
            </w:r>
            <w:r>
              <w:rPr>
                <w:rFonts w:hint="eastAsia" w:ascii="宋体" w:hAnsi="宋体" w:eastAsia="宋体" w:cs="宋体"/>
                <w:sz w:val="24"/>
                <w:szCs w:val="24"/>
                <w:lang w:eastAsia="zh-CN"/>
              </w:rPr>
              <w:t>供应商须知前附表第</w:t>
            </w:r>
            <w:r>
              <w:rPr>
                <w:rFonts w:hint="eastAsia" w:ascii="宋体" w:hAnsi="宋体" w:eastAsia="宋体" w:cs="宋体"/>
                <w:sz w:val="24"/>
                <w:szCs w:val="24"/>
                <w:lang w:val="en-US" w:eastAsia="zh-CN"/>
              </w:rPr>
              <w:t>6项中“</w:t>
            </w:r>
            <w:r>
              <w:rPr>
                <w:rFonts w:hint="eastAsia" w:ascii="宋体" w:hAnsi="宋体" w:eastAsia="宋体" w:cs="宋体"/>
                <w:sz w:val="24"/>
                <w:szCs w:val="24"/>
              </w:rPr>
              <w:t>涉及</w:t>
            </w:r>
            <w:r>
              <w:rPr>
                <w:rFonts w:hint="eastAsia" w:ascii="宋体" w:hAnsi="宋体" w:eastAsia="宋体" w:cs="宋体"/>
                <w:sz w:val="24"/>
                <w:szCs w:val="24"/>
                <w:lang w:val="en-US" w:eastAsia="zh-CN"/>
              </w:rPr>
              <w:t>中小</w:t>
            </w:r>
            <w:r>
              <w:rPr>
                <w:rFonts w:hint="eastAsia" w:ascii="宋体" w:hAnsi="宋体" w:eastAsia="宋体" w:cs="宋体"/>
                <w:sz w:val="24"/>
                <w:szCs w:val="24"/>
              </w:rPr>
              <w:t>企业参加</w:t>
            </w:r>
            <w:r>
              <w:rPr>
                <w:rFonts w:hint="eastAsia" w:ascii="宋体" w:hAnsi="宋体" w:eastAsia="宋体" w:cs="宋体"/>
                <w:sz w:val="24"/>
                <w:szCs w:val="24"/>
                <w:lang w:val="en-US" w:eastAsia="zh-CN"/>
              </w:rPr>
              <w:t>磋商</w:t>
            </w:r>
            <w:r>
              <w:rPr>
                <w:rFonts w:hint="eastAsia" w:ascii="宋体" w:hAnsi="宋体" w:eastAsia="宋体" w:cs="宋体"/>
                <w:sz w:val="24"/>
                <w:szCs w:val="24"/>
              </w:rPr>
              <w:t>的要求</w:t>
            </w:r>
            <w:r>
              <w:rPr>
                <w:rFonts w:hint="eastAsia" w:ascii="宋体" w:hAnsi="宋体" w:eastAsia="宋体" w:cs="宋体"/>
                <w:sz w:val="24"/>
                <w:szCs w:val="24"/>
                <w:lang w:eastAsia="zh-CN"/>
              </w:rPr>
              <w:t>”</w:t>
            </w:r>
          </w:p>
          <w:p>
            <w:pPr>
              <w:jc w:val="both"/>
              <w:rPr>
                <w:rFonts w:hint="eastAsia" w:ascii="宋体" w:hAnsi="宋体" w:eastAsia="宋体" w:cs="宋体"/>
                <w:sz w:val="24"/>
                <w:szCs w:val="24"/>
              </w:rPr>
            </w:pPr>
            <w:r>
              <w:rPr>
                <w:rFonts w:hint="eastAsia" w:ascii="宋体" w:hAnsi="宋体" w:eastAsia="宋体" w:cs="宋体"/>
                <w:sz w:val="24"/>
                <w:szCs w:val="24"/>
              </w:rPr>
              <w:t>资格条件符合要求，扫描件清晰。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74"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617" w:type="pct"/>
            <w:tcBorders>
              <w:top w:val="single" w:color="auto" w:sz="2" w:space="0"/>
              <w:left w:val="single" w:color="auto" w:sz="2" w:space="0"/>
              <w:bottom w:val="single" w:color="auto" w:sz="2" w:space="0"/>
              <w:right w:val="single" w:color="auto" w:sz="2" w:space="0"/>
            </w:tcBorders>
          </w:tcPr>
          <w:p>
            <w:pPr>
              <w:jc w:val="center"/>
              <w:rPr>
                <w:rFonts w:hint="eastAsia" w:ascii="宋体" w:hAnsi="宋体" w:eastAsia="宋体" w:cs="宋体"/>
                <w:sz w:val="24"/>
                <w:szCs w:val="24"/>
              </w:rPr>
            </w:pPr>
            <w:r>
              <w:rPr>
                <w:rFonts w:hint="eastAsia" w:ascii="宋体" w:hAnsi="宋体" w:eastAsia="宋体" w:cs="宋体"/>
                <w:sz w:val="24"/>
                <w:szCs w:val="24"/>
              </w:rPr>
              <w:t>本项目要求的其他特定资格条件</w:t>
            </w:r>
          </w:p>
        </w:tc>
        <w:tc>
          <w:tcPr>
            <w:tcW w:w="3008" w:type="pct"/>
            <w:tcBorders>
              <w:top w:val="single" w:color="auto" w:sz="2" w:space="0"/>
              <w:left w:val="single" w:color="auto" w:sz="2" w:space="0"/>
              <w:bottom w:val="single" w:color="auto" w:sz="2" w:space="0"/>
              <w:right w:val="single" w:color="auto" w:sz="2" w:space="0"/>
            </w:tcBorders>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1、资格检查的内容若有一项未提供或达不到检查标准，将导致其不具备磋商资格，且不允许在响应文件提交截止时间后补正。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2、依法免税或不需要缴纳社会保障金的磋商供应商，应提供相应的证明文件扫描件并加盖法人电子签章。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3、磋商供应商提供的其他材料，不作为资格检查的内容。</w:t>
      </w:r>
    </w:p>
    <w:p>
      <w:pPr>
        <w:rPr>
          <w:rFonts w:hint="eastAsia" w:ascii="宋体" w:hAnsi="宋体" w:eastAsia="宋体" w:cs="宋体"/>
        </w:rPr>
      </w:pPr>
    </w:p>
    <w:p>
      <w:pPr>
        <w:widowControl/>
        <w:jc w:val="left"/>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bookmarkStart w:id="83" w:name="_Toc10477"/>
      <w:r>
        <w:rPr>
          <w:rFonts w:hint="eastAsia" w:ascii="宋体" w:hAnsi="宋体" w:eastAsia="宋体" w:cs="宋体"/>
        </w:rPr>
        <w:t>第六部分 评定和成交标准</w:t>
      </w:r>
      <w:bookmarkEnd w:id="83"/>
    </w:p>
    <w:p>
      <w:pPr>
        <w:pStyle w:val="61"/>
        <w:numPr>
          <w:ilvl w:val="0"/>
          <w:numId w:val="5"/>
        </w:numPr>
        <w:snapToGrid w:val="0"/>
        <w:spacing w:line="480" w:lineRule="exact"/>
        <w:rPr>
          <w:rFonts w:hint="eastAsia" w:ascii="宋体" w:hAnsi="宋体" w:eastAsia="宋体" w:cs="宋体"/>
          <w:b/>
        </w:rPr>
      </w:pPr>
      <w:r>
        <w:rPr>
          <w:rFonts w:hint="eastAsia" w:ascii="宋体" w:hAnsi="宋体" w:eastAsia="宋体" w:cs="宋体"/>
          <w:b/>
        </w:rPr>
        <w:t>响应文件的有效性、完整性、响应程度检查的内容及标准</w:t>
      </w:r>
    </w:p>
    <w:tbl>
      <w:tblPr>
        <w:tblStyle w:val="3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52"/>
        <w:gridCol w:w="2519"/>
        <w:gridCol w:w="63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528"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4"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内容</w:t>
            </w:r>
          </w:p>
        </w:tc>
        <w:tc>
          <w:tcPr>
            <w:tcW w:w="3207"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64"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商务要求响应内容</w:t>
            </w:r>
          </w:p>
        </w:tc>
        <w:tc>
          <w:tcPr>
            <w:tcW w:w="3207"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sz w:val="24"/>
                <w:szCs w:val="24"/>
              </w:rPr>
            </w:pPr>
            <w:r>
              <w:rPr>
                <w:rFonts w:hint="eastAsia" w:ascii="宋体" w:hAnsi="宋体" w:eastAsia="宋体" w:cs="宋体"/>
                <w:sz w:val="24"/>
                <w:szCs w:val="24"/>
              </w:rPr>
              <w:t>响应文件的商务要求内容进行审查，没有做出实质性响应的做无效磋商处理。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264"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技术要求响应内容</w:t>
            </w:r>
          </w:p>
        </w:tc>
        <w:tc>
          <w:tcPr>
            <w:tcW w:w="3207"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sz w:val="24"/>
                <w:szCs w:val="24"/>
              </w:rPr>
            </w:pPr>
            <w:r>
              <w:rPr>
                <w:rFonts w:hint="eastAsia" w:ascii="宋体" w:hAnsi="宋体" w:eastAsia="宋体" w:cs="宋体"/>
                <w:sz w:val="24"/>
                <w:szCs w:val="24"/>
              </w:rPr>
              <w:t>对照本文件第四部分的“</w:t>
            </w:r>
            <w:r>
              <w:rPr>
                <w:rFonts w:hint="eastAsia" w:ascii="宋体" w:hAnsi="宋体" w:cs="宋体"/>
                <w:sz w:val="24"/>
                <w:szCs w:val="24"/>
                <w:lang w:val="en-US" w:eastAsia="zh-CN"/>
              </w:rPr>
              <w:t>采购需求</w:t>
            </w:r>
            <w:r>
              <w:rPr>
                <w:rFonts w:hint="eastAsia" w:ascii="宋体" w:hAnsi="宋体" w:eastAsia="宋体" w:cs="宋体"/>
                <w:sz w:val="24"/>
                <w:szCs w:val="24"/>
              </w:rPr>
              <w:t>”的内容和响应文件的响应内容进行审查，没有实质性响应的做无效磋商处理。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528"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64" w:type="pct"/>
            <w:tcBorders>
              <w:top w:val="single" w:color="auto" w:sz="2" w:space="0"/>
              <w:left w:val="single" w:color="auto" w:sz="2" w:space="0"/>
              <w:bottom w:val="single" w:color="auto" w:sz="2" w:space="0"/>
              <w:right w:val="single" w:color="auto" w:sz="2"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投标文件的报价</w:t>
            </w:r>
          </w:p>
        </w:tc>
        <w:tc>
          <w:tcPr>
            <w:tcW w:w="3207" w:type="pct"/>
            <w:tcBorders>
              <w:top w:val="single" w:color="auto" w:sz="2" w:space="0"/>
              <w:left w:val="single" w:color="auto" w:sz="2" w:space="0"/>
              <w:bottom w:val="single" w:color="auto" w:sz="2" w:space="0"/>
              <w:right w:val="single" w:color="auto" w:sz="2" w:space="0"/>
            </w:tcBorders>
            <w:vAlign w:val="center"/>
          </w:tcPr>
          <w:p>
            <w:pPr>
              <w:jc w:val="both"/>
              <w:rPr>
                <w:rFonts w:hint="eastAsia" w:ascii="宋体" w:hAnsi="宋体" w:eastAsia="宋体" w:cs="宋体"/>
                <w:sz w:val="24"/>
                <w:szCs w:val="24"/>
              </w:rPr>
            </w:pPr>
            <w:r>
              <w:rPr>
                <w:rFonts w:hint="eastAsia" w:ascii="宋体" w:hAnsi="宋体" w:eastAsia="宋体" w:cs="宋体"/>
                <w:sz w:val="24"/>
                <w:szCs w:val="24"/>
              </w:rPr>
              <w:t>1、所有投标报价均以人民币/元为计算单位。</w:t>
            </w:r>
          </w:p>
          <w:p>
            <w:pPr>
              <w:jc w:val="both"/>
              <w:rPr>
                <w:rFonts w:hint="eastAsia" w:ascii="宋体" w:hAnsi="宋体" w:eastAsia="宋体" w:cs="宋体"/>
                <w:sz w:val="24"/>
                <w:szCs w:val="24"/>
              </w:rPr>
            </w:pPr>
            <w:r>
              <w:rPr>
                <w:rFonts w:hint="eastAsia" w:ascii="宋体" w:hAnsi="宋体" w:eastAsia="宋体" w:cs="宋体"/>
                <w:sz w:val="24"/>
                <w:szCs w:val="24"/>
              </w:rPr>
              <w:t>2、投标人投报多包的，应对每包分别报价并分别填报开标报价一览表。</w:t>
            </w:r>
          </w:p>
          <w:p>
            <w:pPr>
              <w:jc w:val="both"/>
              <w:rPr>
                <w:rFonts w:hint="eastAsia" w:ascii="宋体" w:hAnsi="宋体" w:eastAsia="宋体" w:cs="宋体"/>
                <w:sz w:val="24"/>
                <w:szCs w:val="24"/>
              </w:rPr>
            </w:pPr>
            <w:r>
              <w:rPr>
                <w:rFonts w:hint="eastAsia" w:ascii="宋体" w:hAnsi="宋体" w:eastAsia="宋体" w:cs="宋体"/>
                <w:sz w:val="24"/>
                <w:szCs w:val="24"/>
              </w:rPr>
              <w:t>3、不接受可选择或可调整的投标和报价。</w:t>
            </w:r>
          </w:p>
          <w:p>
            <w:pPr>
              <w:jc w:val="both"/>
              <w:rPr>
                <w:rFonts w:hint="eastAsia" w:ascii="宋体" w:hAnsi="宋体" w:eastAsia="宋体" w:cs="宋体"/>
                <w:sz w:val="24"/>
                <w:szCs w:val="24"/>
              </w:rPr>
            </w:pPr>
            <w:r>
              <w:rPr>
                <w:rFonts w:hint="eastAsia" w:ascii="宋体" w:hAnsi="宋体" w:eastAsia="宋体" w:cs="宋体"/>
                <w:sz w:val="24"/>
                <w:szCs w:val="24"/>
              </w:rPr>
              <w:t>4、不接受超出本项目预算金额或最高限价的报价。</w:t>
            </w:r>
          </w:p>
          <w:p>
            <w:pPr>
              <w:jc w:val="both"/>
              <w:rPr>
                <w:rFonts w:hint="eastAsia" w:ascii="宋体" w:hAnsi="宋体" w:eastAsia="宋体" w:cs="宋体"/>
                <w:sz w:val="24"/>
                <w:szCs w:val="24"/>
                <w:lang w:eastAsia="zh-CN"/>
              </w:rPr>
            </w:pPr>
            <w:r>
              <w:rPr>
                <w:rFonts w:hint="eastAsia" w:ascii="宋体" w:hAnsi="宋体" w:eastAsia="宋体" w:cs="宋体"/>
                <w:sz w:val="24"/>
                <w:szCs w:val="24"/>
              </w:rPr>
              <w:t>5、对投标报价是否存在恶意竞争进行符合性审查，审查标准对照本文件投标人须知规定执</w:t>
            </w:r>
            <w:r>
              <w:rPr>
                <w:rFonts w:hint="eastAsia" w:ascii="宋体" w:hAnsi="宋体" w:eastAsia="宋体" w:cs="宋体"/>
                <w:sz w:val="24"/>
                <w:szCs w:val="24"/>
                <w:lang w:eastAsia="zh-CN"/>
              </w:rPr>
              <w:t>。</w:t>
            </w:r>
          </w:p>
        </w:tc>
      </w:tr>
    </w:tbl>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说明：1、符合性检查的内容，经磋商小组共同认定没有做出实质性响应的，将导致磋商无效。</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2、审查时，对特殊情况的处理评标委员会要遵循磋商文件第三部分磋商供应商须知规定的原则。</w:t>
      </w:r>
    </w:p>
    <w:p>
      <w:pPr>
        <w:pStyle w:val="61"/>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二、落实政府采购政策性要求的评审内容及标准</w:t>
      </w:r>
    </w:p>
    <w:p>
      <w:pPr>
        <w:pStyle w:val="61"/>
        <w:snapToGrid w:val="0"/>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w:t>
      </w:r>
      <w:r>
        <w:rPr>
          <w:rFonts w:hint="eastAsia" w:ascii="宋体" w:hAnsi="宋体" w:eastAsia="宋体" w:cs="宋体"/>
          <w:sz w:val="24"/>
          <w:szCs w:val="24"/>
        </w:rPr>
        <w:t>本项目采购标的物未特别注明“进口产品”（通过中国海关报关验放进入中国境内且产自关境外的产品）字样的，均必须采购国产产品，否则投标无效；特别注明“进口产品”字样的，如无能够满足采购需求的国产产品，在综合得分相同前提下优先采购向我国企业转让技术、与我国企业签订消化吸收再创新方案的供应商的进口产品。如果有能够满足采购需求的国产产品参与，应当按照公平竞争的原则进行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文件列出政府强制采购产品的，磋商供应商必须投报“节能产品政府采购品目清单”范围内的产品，需将政府强制采购产品如实填写到《政府强制采购产品明细表》（格式见第八部分），并提供处于有效期之内的节能产品认证证书扫描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3、本文件未列出政府强制采购产品的，磋商供应商可投报“节能产品政府采购品目清单、环境标志产品政府采购品目清单”中非政府强制采购产品或其范围以外的产品。</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磋商供应商投报“节能产品政府采购品目清单、环境标志产品政府采购品目清单”中非政府强制采购产品的将给予适当加分。磋商供应商需将非政府强制采购产品如实填写《非政府强制采购产品明细表》（格式自制），并提供处于有效期之内的节能产品、环境标志产品认证证书扫描件。</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5、承诺所投报的计算机预装正版操作系统，硬件产品内的预装软件为正版软件。</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6、所投报信息安全产品属于《信息安全产品强制性认证目录》中的产品，须提供有效认证证书扫描件，否则将可能导致磋商无效。</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7、小型、微型企业参加本项目的评审标准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格式见第八部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小型、微企业只有提供本企业制造的货物或者服务，或者提供其他小型、微企业制造的货物，享受投标货物10%的价格折扣。若有的话，如实填写《小微企业/残疾人福利性单位提供货物/服务明细表》（格式见第八部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（3）小型、微型企业提供的货物既有中小企业制造货物，也有大型企业制造货物的，不享受价格折扣。</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联合体价格折扣：本项目若允许联合体参加，大中型企业与小型、微型企业组成联合体的，联合协议约定小型、微型企业的合同份额占到合同总金额30%以上的，对联合体的报价给予3%的扣除，用扣除后价格参加评审。</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大中型企业向小型、微型企业分包的价格折扣：大中型企业向一家或者多家小型、微型企业分包的，分包意向协议约定小型、微型企业的合同份额占到合同总金额30%以上的，对大中型企业的报价给予3%的扣除，用扣除后价格参加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8、残疾人福利性单位参加本项目的评审标准：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（2）享受政府采购支持政策的残疾人福利性单位应当同时满足以下条件：</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A.安置的残疾人占本单位在职职工人数的比例不低于25%（含25%），并且安置的残疾人人数不少于10人（含10人）；</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B.依法与安置的每位残疾人签订了一年以上（含一年）的劳动合同或服务协议；</w:t>
      </w:r>
    </w:p>
    <w:p>
      <w:pPr>
        <w:pStyle w:val="61"/>
        <w:snapToGrid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C.为安置的每位残疾人按月足额缴纳了基本养老保险、基本医疗保险、失业保险、工伤保险和生育保险等社会保险费；</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D.通过银行等金融机构向安置的每位残疾人，按月支付了不低于单位所在区县适用的经省级人民政府批准的月最低工资标准的工资；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E．提供本单位制造的货物、承担的工程或者服务（以下简称产品），或者提供其他残疾人福利性单位制造的货物（不包括使用非残疾人福利性单位注册商标的货物）。</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9、供应商提供的《残疾人福利性单位声明函》与事实不符的，依照《政府采购法》第七十七条第一款的规定追究法律责任。</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10、本项目涉及创新产品、创新服务的评审标准：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（1）磋商人所报价产品或服务属于《山西省创新产品和服务推荐清单》中创新产品或创新服务的，在评审时，享受所报产品10%的价格折扣，以折扣后的价格参与评审。</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（2）磋商人所报创新产品或创新服务的，应在响应文件中填写《创新产品或创新服务明细表》，并提供《山西省创新产品和服务推荐清单》。</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（3）创新产品或创新服务的价格折扣政策可与其他政府采购政策叠加。</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11、监狱企业参加本项目投标的要求</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（1）监狱企业参加投标视同小微企业，需提供由省级以上监狱管理局或戒毒管理局出具的属于监狱企业的证明文件。</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监狱企业只有提供本企业制造的货物或服务，或者提供其他小、微企业制造的货物，享受投标货物的价格折扣。若有的话，如实填写《小微企业/残疾人福利性单位提供货物/服务明细表》（格式见第八部分）；</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（3）监狱企业与中型企业组成联合体参加投标的，或者向监狱企业分包，且联合体协议或分包意向协议约定监狱企业的协议金额占到合同金额30%以上的，享受投标标的3%的价格扣除，用扣除后的价格参与评审。</w:t>
      </w:r>
    </w:p>
    <w:p>
      <w:pPr>
        <w:pStyle w:val="61"/>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三、无效磋商的情形</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未通过资格性、符合性审查的响应文件为无效磋商。</w:t>
      </w:r>
    </w:p>
    <w:p>
      <w:pPr>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四、成交标准</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szCs w:val="24"/>
        </w:rPr>
        <w:t>经磋商确定最终采购需求和提交最后报价的供应商后，由磋商小组采用综合评分法对提交最后报价的供应商的响应文件和报价进行综合评分，响应文件满足磋商文件全部实质性要求，对价格、商务、服务、技术等主要因素的量化指标进行评审得分（具体评分见综合评分法评分细则），得分最高的磋商供应商为成交供应商或成交第一候选供应商。</w:t>
      </w:r>
      <w:r>
        <w:rPr>
          <w:rFonts w:hint="eastAsia" w:ascii="宋体" w:hAnsi="宋体" w:eastAsia="宋体" w:cs="宋体"/>
        </w:rPr>
        <w:br w:type="page"/>
      </w:r>
    </w:p>
    <w:p>
      <w:pPr>
        <w:pStyle w:val="61"/>
        <w:snapToGrid w:val="0"/>
        <w:spacing w:line="360" w:lineRule="auto"/>
        <w:jc w:val="center"/>
        <w:rPr>
          <w:rFonts w:hint="eastAsia" w:cs="宋体"/>
          <w:sz w:val="28"/>
          <w:szCs w:val="28"/>
        </w:rPr>
      </w:pPr>
      <w:r>
        <w:rPr>
          <w:rFonts w:hint="eastAsia" w:cs="宋体"/>
          <w:b/>
          <w:bCs/>
          <w:sz w:val="28"/>
          <w:szCs w:val="28"/>
        </w:rPr>
        <w:t>综合评分法评分细则：</w:t>
      </w:r>
    </w:p>
    <w:p>
      <w:pPr>
        <w:pStyle w:val="23"/>
        <w:rPr>
          <w:rFonts w:hint="eastAsia" w:ascii="宋体" w:hAnsi="宋体" w:cs="宋体"/>
          <w:b/>
          <w:sz w:val="24"/>
          <w:szCs w:val="24"/>
        </w:rPr>
      </w:pPr>
      <w:r>
        <w:rPr>
          <w:rFonts w:hint="eastAsia" w:ascii="宋体" w:hAnsi="宋体" w:cs="宋体"/>
          <w:b/>
          <w:sz w:val="24"/>
          <w:szCs w:val="24"/>
        </w:rPr>
        <w:t>第一部分：商务、服务、技术评分（评委会共同认定）</w:t>
      </w:r>
    </w:p>
    <w:tbl>
      <w:tblPr>
        <w:tblStyle w:val="3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87"/>
        <w:gridCol w:w="564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5"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序号</w:t>
            </w:r>
          </w:p>
        </w:tc>
        <w:tc>
          <w:tcPr>
            <w:tcW w:w="1387"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评审因素</w:t>
            </w:r>
          </w:p>
        </w:tc>
        <w:tc>
          <w:tcPr>
            <w:tcW w:w="5640"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评分细则</w:t>
            </w:r>
          </w:p>
        </w:tc>
        <w:tc>
          <w:tcPr>
            <w:tcW w:w="1316"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分值</w:t>
            </w:r>
          </w:p>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（共</w:t>
            </w:r>
            <w:r>
              <w:rPr>
                <w:rFonts w:ascii="Times New Roman" w:hAnsi="Times New Roman"/>
                <w:b/>
                <w:bCs/>
                <w:sz w:val="24"/>
                <w:szCs w:val="24"/>
              </w:rPr>
              <w:t>31</w:t>
            </w:r>
            <w:r>
              <w:rPr>
                <w:rFonts w:ascii="Times New Roman" w:hAnsi="宋体"/>
                <w:b/>
                <w:bCs/>
                <w:sz w:val="24"/>
                <w:szCs w:val="24"/>
              </w:rPr>
              <w:t>分</w:t>
            </w:r>
            <w:r>
              <w:rPr>
                <w:rFonts w:ascii="Times New Roman" w:hAnsi="宋体"/>
                <w:b/>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15" w:type="dxa"/>
            <w:noWrap w:val="0"/>
            <w:vAlign w:val="center"/>
          </w:tcPr>
          <w:p>
            <w:pPr>
              <w:pStyle w:val="23"/>
              <w:jc w:val="center"/>
              <w:rPr>
                <w:rFonts w:ascii="Times New Roman" w:hAnsi="Times New Roman"/>
                <w:sz w:val="24"/>
                <w:szCs w:val="24"/>
              </w:rPr>
            </w:pPr>
            <w:r>
              <w:rPr>
                <w:rFonts w:ascii="Times New Roman" w:hAnsi="Times New Roman"/>
                <w:sz w:val="24"/>
                <w:szCs w:val="24"/>
              </w:rPr>
              <w:t>1</w:t>
            </w:r>
          </w:p>
        </w:tc>
        <w:tc>
          <w:tcPr>
            <w:tcW w:w="1387" w:type="dxa"/>
            <w:noWrap w:val="0"/>
            <w:vAlign w:val="center"/>
          </w:tcPr>
          <w:p>
            <w:pPr>
              <w:pStyle w:val="23"/>
              <w:jc w:val="center"/>
              <w:rPr>
                <w:rFonts w:ascii="Times New Roman" w:hAnsi="Times New Roman"/>
                <w:sz w:val="24"/>
                <w:szCs w:val="24"/>
              </w:rPr>
            </w:pPr>
            <w:r>
              <w:rPr>
                <w:rFonts w:ascii="Times New Roman" w:hAnsi="宋体"/>
                <w:sz w:val="24"/>
                <w:szCs w:val="24"/>
              </w:rPr>
              <w:t>业绩</w:t>
            </w:r>
          </w:p>
        </w:tc>
        <w:tc>
          <w:tcPr>
            <w:tcW w:w="5640" w:type="dxa"/>
            <w:noWrap w:val="0"/>
            <w:vAlign w:val="center"/>
          </w:tcPr>
          <w:p>
            <w:pPr>
              <w:pStyle w:val="23"/>
              <w:wordWrap w:val="0"/>
              <w:rPr>
                <w:rFonts w:hint="eastAsia" w:ascii="Times New Roman" w:hAnsi="宋体"/>
                <w:sz w:val="24"/>
                <w:szCs w:val="24"/>
              </w:rPr>
            </w:pPr>
            <w:r>
              <w:rPr>
                <w:rFonts w:ascii="Times New Roman" w:hAnsi="宋体"/>
                <w:sz w:val="24"/>
                <w:szCs w:val="24"/>
              </w:rPr>
              <w:t>类似项目合同案例是以磋商供应商自身合同为准，要求必须提供与最终用户签订的合同首页、合同金额所在页、签字盖章页扫描件作为证明。每提供</w:t>
            </w:r>
            <w:r>
              <w:rPr>
                <w:rFonts w:ascii="Times New Roman" w:hAnsi="Times New Roman"/>
                <w:sz w:val="24"/>
                <w:szCs w:val="24"/>
              </w:rPr>
              <w:t>1</w:t>
            </w:r>
            <w:r>
              <w:rPr>
                <w:rFonts w:ascii="Times New Roman" w:hAnsi="宋体"/>
                <w:sz w:val="24"/>
                <w:szCs w:val="24"/>
              </w:rPr>
              <w:t>个在磋商截止日期三个年度内签署的合同案例得</w:t>
            </w:r>
            <w:r>
              <w:rPr>
                <w:rFonts w:ascii="Times New Roman" w:hAnsi="Times New Roman"/>
                <w:sz w:val="24"/>
                <w:szCs w:val="24"/>
              </w:rPr>
              <w:t>3</w:t>
            </w:r>
            <w:r>
              <w:rPr>
                <w:rFonts w:ascii="Times New Roman" w:hAnsi="宋体"/>
                <w:sz w:val="24"/>
                <w:szCs w:val="24"/>
              </w:rPr>
              <w:t>分。最高得</w:t>
            </w:r>
            <w:r>
              <w:rPr>
                <w:rFonts w:ascii="Times New Roman" w:hAnsi="Times New Roman"/>
                <w:sz w:val="24"/>
                <w:szCs w:val="24"/>
              </w:rPr>
              <w:t>6</w:t>
            </w:r>
            <w:r>
              <w:rPr>
                <w:rFonts w:ascii="Times New Roman" w:hAnsi="宋体"/>
                <w:sz w:val="24"/>
                <w:szCs w:val="24"/>
              </w:rPr>
              <w:t>分，</w:t>
            </w:r>
          </w:p>
          <w:p>
            <w:pPr>
              <w:pStyle w:val="23"/>
              <w:wordWrap w:val="0"/>
              <w:rPr>
                <w:rFonts w:ascii="Times New Roman" w:hAnsi="Times New Roman"/>
                <w:sz w:val="24"/>
                <w:szCs w:val="24"/>
              </w:rPr>
            </w:pPr>
            <w:r>
              <w:rPr>
                <w:rFonts w:ascii="Times New Roman" w:hAnsi="宋体"/>
                <w:sz w:val="24"/>
                <w:szCs w:val="24"/>
              </w:rPr>
              <w:t>未提供者不得分。</w:t>
            </w:r>
          </w:p>
        </w:tc>
        <w:tc>
          <w:tcPr>
            <w:tcW w:w="1316" w:type="dxa"/>
            <w:noWrap w:val="0"/>
            <w:vAlign w:val="center"/>
          </w:tcPr>
          <w:p>
            <w:pPr>
              <w:pStyle w:val="23"/>
              <w:jc w:val="center"/>
              <w:rPr>
                <w:rFonts w:ascii="Times New Roman" w:hAnsi="Times New Roman"/>
                <w:sz w:val="24"/>
                <w:szCs w:val="24"/>
              </w:rPr>
            </w:pPr>
            <w:r>
              <w:rPr>
                <w:rFonts w:ascii="Times New Roman" w:hAnsi="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15" w:type="dxa"/>
            <w:noWrap w:val="0"/>
            <w:vAlign w:val="center"/>
          </w:tcPr>
          <w:p>
            <w:pPr>
              <w:pStyle w:val="23"/>
              <w:jc w:val="center"/>
              <w:rPr>
                <w:rFonts w:ascii="Times New Roman" w:hAnsi="Times New Roman"/>
                <w:sz w:val="24"/>
                <w:szCs w:val="24"/>
              </w:rPr>
            </w:pPr>
            <w:r>
              <w:rPr>
                <w:rFonts w:ascii="Times New Roman" w:hAnsi="Times New Roman"/>
                <w:sz w:val="24"/>
                <w:szCs w:val="24"/>
              </w:rPr>
              <w:t>2</w:t>
            </w:r>
          </w:p>
        </w:tc>
        <w:tc>
          <w:tcPr>
            <w:tcW w:w="1387" w:type="dxa"/>
            <w:noWrap w:val="0"/>
            <w:vAlign w:val="center"/>
          </w:tcPr>
          <w:p>
            <w:pPr>
              <w:pStyle w:val="23"/>
              <w:jc w:val="center"/>
              <w:rPr>
                <w:rFonts w:hint="eastAsia" w:ascii="Times New Roman" w:hAnsi="宋体"/>
                <w:sz w:val="24"/>
                <w:szCs w:val="24"/>
              </w:rPr>
            </w:pPr>
            <w:r>
              <w:rPr>
                <w:rFonts w:ascii="Times New Roman" w:hAnsi="宋体"/>
                <w:sz w:val="24"/>
                <w:szCs w:val="24"/>
              </w:rPr>
              <w:t>售后服务</w:t>
            </w:r>
          </w:p>
          <w:p>
            <w:pPr>
              <w:pStyle w:val="23"/>
              <w:jc w:val="center"/>
              <w:rPr>
                <w:rFonts w:ascii="Times New Roman" w:hAnsi="Times New Roman"/>
                <w:sz w:val="24"/>
                <w:szCs w:val="24"/>
              </w:rPr>
            </w:pPr>
            <w:r>
              <w:rPr>
                <w:rFonts w:ascii="Times New Roman" w:hAnsi="宋体"/>
                <w:sz w:val="24"/>
                <w:szCs w:val="24"/>
              </w:rPr>
              <w:t>负责人</w:t>
            </w:r>
          </w:p>
        </w:tc>
        <w:tc>
          <w:tcPr>
            <w:tcW w:w="5640" w:type="dxa"/>
            <w:noWrap w:val="0"/>
            <w:vAlign w:val="center"/>
          </w:tcPr>
          <w:p>
            <w:pPr>
              <w:pStyle w:val="23"/>
              <w:rPr>
                <w:rFonts w:ascii="Times New Roman" w:hAnsi="Times New Roman"/>
                <w:sz w:val="24"/>
                <w:szCs w:val="24"/>
              </w:rPr>
            </w:pPr>
            <w:r>
              <w:rPr>
                <w:rFonts w:ascii="Times New Roman" w:hAnsi="宋体"/>
                <w:sz w:val="24"/>
                <w:szCs w:val="24"/>
              </w:rPr>
              <w:t>有且准确提供本项目售后服务负责人的姓名、职务、详细的地址和联系方式</w:t>
            </w:r>
            <w:r>
              <w:rPr>
                <w:rFonts w:hint="eastAsia" w:ascii="Times New Roman" w:hAnsi="宋体"/>
                <w:sz w:val="24"/>
                <w:szCs w:val="24"/>
              </w:rPr>
              <w:t>等</w:t>
            </w:r>
            <w:r>
              <w:rPr>
                <w:rFonts w:ascii="Times New Roman" w:hAnsi="宋体"/>
                <w:sz w:val="24"/>
                <w:szCs w:val="24"/>
              </w:rPr>
              <w:t>，每提供一项得</w:t>
            </w:r>
            <w:r>
              <w:rPr>
                <w:rFonts w:ascii="Times New Roman" w:hAnsi="Times New Roman"/>
                <w:sz w:val="24"/>
                <w:szCs w:val="24"/>
              </w:rPr>
              <w:t>1</w:t>
            </w:r>
            <w:r>
              <w:rPr>
                <w:rFonts w:ascii="Times New Roman" w:hAnsi="宋体"/>
                <w:sz w:val="24"/>
                <w:szCs w:val="24"/>
              </w:rPr>
              <w:t>分，最高得</w:t>
            </w:r>
            <w:r>
              <w:rPr>
                <w:rFonts w:ascii="Times New Roman" w:hAnsi="Times New Roman"/>
                <w:sz w:val="24"/>
                <w:szCs w:val="24"/>
              </w:rPr>
              <w:t>5</w:t>
            </w:r>
            <w:r>
              <w:rPr>
                <w:rFonts w:ascii="Times New Roman" w:hAnsi="宋体"/>
                <w:sz w:val="24"/>
                <w:szCs w:val="24"/>
              </w:rPr>
              <w:t>分。</w:t>
            </w:r>
            <w:r>
              <w:rPr>
                <w:rFonts w:ascii="Times New Roman" w:hAnsi="Times New Roman"/>
                <w:sz w:val="24"/>
                <w:szCs w:val="24"/>
              </w:rPr>
              <w:t xml:space="preserve"> </w:t>
            </w:r>
          </w:p>
          <w:p>
            <w:pPr>
              <w:pStyle w:val="23"/>
              <w:rPr>
                <w:rFonts w:ascii="Times New Roman" w:hAnsi="Times New Roman"/>
                <w:sz w:val="24"/>
                <w:szCs w:val="24"/>
              </w:rPr>
            </w:pPr>
            <w:r>
              <w:rPr>
                <w:rFonts w:ascii="Times New Roman" w:hAnsi="宋体"/>
                <w:sz w:val="24"/>
                <w:szCs w:val="24"/>
              </w:rPr>
              <w:t>未提供者不得分。</w:t>
            </w:r>
          </w:p>
        </w:tc>
        <w:tc>
          <w:tcPr>
            <w:tcW w:w="1316" w:type="dxa"/>
            <w:noWrap w:val="0"/>
            <w:vAlign w:val="center"/>
          </w:tcPr>
          <w:p>
            <w:pPr>
              <w:pStyle w:val="23"/>
              <w:jc w:val="center"/>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5" w:type="dxa"/>
            <w:noWrap w:val="0"/>
            <w:vAlign w:val="center"/>
          </w:tcPr>
          <w:p>
            <w:pPr>
              <w:pStyle w:val="23"/>
              <w:jc w:val="center"/>
              <w:rPr>
                <w:rFonts w:ascii="Times New Roman" w:hAnsi="Times New Roman"/>
                <w:kern w:val="0"/>
                <w:sz w:val="24"/>
                <w:szCs w:val="24"/>
              </w:rPr>
            </w:pPr>
            <w:r>
              <w:rPr>
                <w:rFonts w:ascii="Times New Roman" w:hAnsi="Times New Roman"/>
                <w:kern w:val="0"/>
                <w:sz w:val="24"/>
                <w:szCs w:val="24"/>
              </w:rPr>
              <w:t>3</w:t>
            </w:r>
          </w:p>
        </w:tc>
        <w:tc>
          <w:tcPr>
            <w:tcW w:w="1387" w:type="dxa"/>
            <w:noWrap w:val="0"/>
            <w:vAlign w:val="center"/>
          </w:tcPr>
          <w:p>
            <w:pPr>
              <w:pStyle w:val="23"/>
              <w:jc w:val="center"/>
              <w:rPr>
                <w:rFonts w:ascii="Times New Roman" w:hAnsi="Times New Roman"/>
                <w:sz w:val="24"/>
                <w:szCs w:val="24"/>
              </w:rPr>
            </w:pPr>
            <w:r>
              <w:rPr>
                <w:rFonts w:ascii="Times New Roman" w:hAnsi="宋体"/>
                <w:sz w:val="24"/>
                <w:szCs w:val="24"/>
              </w:rPr>
              <w:t>技术指标</w:t>
            </w:r>
          </w:p>
        </w:tc>
        <w:tc>
          <w:tcPr>
            <w:tcW w:w="5640" w:type="dxa"/>
            <w:noWrap w:val="0"/>
            <w:vAlign w:val="center"/>
          </w:tcPr>
          <w:p>
            <w:pPr>
              <w:pStyle w:val="23"/>
              <w:wordWrap w:val="0"/>
              <w:topLinePunct/>
              <w:rPr>
                <w:rFonts w:ascii="Times New Roman" w:hAnsi="Times New Roman"/>
                <w:sz w:val="24"/>
                <w:szCs w:val="24"/>
              </w:rPr>
            </w:pPr>
            <w:r>
              <w:rPr>
                <w:rFonts w:ascii="Times New Roman" w:hAnsi="宋体"/>
                <w:sz w:val="24"/>
                <w:szCs w:val="24"/>
              </w:rPr>
              <w:t>完全符合技术需求书中全部技术要求要求的得</w:t>
            </w:r>
            <w:r>
              <w:rPr>
                <w:rFonts w:ascii="Times New Roman" w:hAnsi="Times New Roman"/>
                <w:sz w:val="24"/>
                <w:szCs w:val="24"/>
              </w:rPr>
              <w:t>20</w:t>
            </w:r>
            <w:r>
              <w:rPr>
                <w:rFonts w:ascii="Times New Roman" w:hAnsi="宋体"/>
                <w:sz w:val="24"/>
                <w:szCs w:val="24"/>
              </w:rPr>
              <w:t>分，带</w:t>
            </w:r>
            <w:r>
              <w:rPr>
                <w:rFonts w:ascii="Times New Roman" w:hAnsi="Times New Roman"/>
                <w:sz w:val="24"/>
                <w:szCs w:val="24"/>
              </w:rPr>
              <w:t>*</w:t>
            </w:r>
            <w:r>
              <w:rPr>
                <w:rFonts w:ascii="Times New Roman" w:hAnsi="宋体"/>
                <w:sz w:val="24"/>
                <w:szCs w:val="24"/>
              </w:rPr>
              <w:t>的主要技术参数不满足将导致响应被拒绝，一般性技术要求每有一项负偏离的扣</w:t>
            </w:r>
            <w:r>
              <w:rPr>
                <w:rFonts w:ascii="Times New Roman" w:hAnsi="Times New Roman"/>
                <w:sz w:val="24"/>
                <w:szCs w:val="24"/>
              </w:rPr>
              <w:t>1</w:t>
            </w:r>
            <w:r>
              <w:rPr>
                <w:rFonts w:ascii="Times New Roman" w:hAnsi="宋体"/>
                <w:sz w:val="24"/>
                <w:szCs w:val="24"/>
              </w:rPr>
              <w:t>分，扣完为止。</w:t>
            </w:r>
          </w:p>
        </w:tc>
        <w:tc>
          <w:tcPr>
            <w:tcW w:w="1316" w:type="dxa"/>
            <w:noWrap w:val="0"/>
            <w:vAlign w:val="center"/>
          </w:tcPr>
          <w:p>
            <w:pPr>
              <w:pStyle w:val="23"/>
              <w:jc w:val="center"/>
              <w:rPr>
                <w:rFonts w:ascii="Times New Roman" w:hAnsi="Times New Roman"/>
                <w:sz w:val="24"/>
                <w:szCs w:val="24"/>
              </w:rPr>
            </w:pPr>
            <w:r>
              <w:rPr>
                <w:rFonts w:ascii="Times New Roman" w:hAnsi="Times New Roman"/>
                <w:sz w:val="24"/>
                <w:szCs w:val="24"/>
              </w:rPr>
              <w:t>20</w:t>
            </w:r>
          </w:p>
        </w:tc>
      </w:tr>
    </w:tbl>
    <w:p>
      <w:pPr>
        <w:pStyle w:val="23"/>
        <w:rPr>
          <w:rFonts w:hint="eastAsia" w:ascii="宋体" w:hAnsi="宋体" w:cs="宋体"/>
          <w:b/>
          <w:sz w:val="24"/>
          <w:szCs w:val="24"/>
        </w:rPr>
      </w:pPr>
      <w:r>
        <w:rPr>
          <w:rFonts w:hint="eastAsia" w:ascii="宋体" w:hAnsi="宋体" w:cs="宋体"/>
          <w:b/>
          <w:sz w:val="24"/>
          <w:szCs w:val="24"/>
        </w:rPr>
        <w:t>第二部分：主观评审（评委个人认定）</w:t>
      </w:r>
    </w:p>
    <w:tbl>
      <w:tblPr>
        <w:tblStyle w:val="32"/>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21"/>
        <w:gridCol w:w="562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47"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序号</w:t>
            </w:r>
          </w:p>
        </w:tc>
        <w:tc>
          <w:tcPr>
            <w:tcW w:w="1421"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评审因素</w:t>
            </w:r>
          </w:p>
        </w:tc>
        <w:tc>
          <w:tcPr>
            <w:tcW w:w="5625"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评分细则</w:t>
            </w:r>
          </w:p>
        </w:tc>
        <w:tc>
          <w:tcPr>
            <w:tcW w:w="1337"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分值</w:t>
            </w:r>
          </w:p>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（共</w:t>
            </w:r>
            <w:r>
              <w:rPr>
                <w:rFonts w:ascii="Times New Roman" w:hAnsi="Times New Roman"/>
                <w:b/>
                <w:bCs/>
                <w:sz w:val="24"/>
                <w:szCs w:val="24"/>
              </w:rPr>
              <w:t>54</w:t>
            </w:r>
            <w:r>
              <w:rPr>
                <w:rFonts w:ascii="Times New Roman" w:hAnsi="宋体"/>
                <w:b/>
                <w:bCs/>
                <w:sz w:val="24"/>
                <w:szCs w:val="24"/>
              </w:rPr>
              <w:t>分</w:t>
            </w:r>
            <w:r>
              <w:rPr>
                <w:rFonts w:ascii="Times New Roman" w:hAnsi="宋体"/>
                <w:b/>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noWrap w:val="0"/>
            <w:vAlign w:val="center"/>
          </w:tcPr>
          <w:p>
            <w:pPr>
              <w:pStyle w:val="23"/>
              <w:jc w:val="center"/>
              <w:rPr>
                <w:rFonts w:ascii="Times New Roman" w:hAnsi="Times New Roman"/>
                <w:sz w:val="24"/>
                <w:szCs w:val="24"/>
              </w:rPr>
            </w:pPr>
            <w:r>
              <w:rPr>
                <w:rFonts w:ascii="Times New Roman" w:hAnsi="Times New Roman"/>
                <w:sz w:val="24"/>
                <w:szCs w:val="24"/>
              </w:rPr>
              <w:t>1</w:t>
            </w:r>
          </w:p>
        </w:tc>
        <w:tc>
          <w:tcPr>
            <w:tcW w:w="1421" w:type="dxa"/>
            <w:noWrap w:val="0"/>
            <w:vAlign w:val="center"/>
          </w:tcPr>
          <w:p>
            <w:pPr>
              <w:pStyle w:val="81"/>
              <w:autoSpaceDN w:val="0"/>
              <w:jc w:val="center"/>
              <w:rPr>
                <w:rFonts w:hint="eastAsia" w:ascii="Times New Roman" w:hAnsi="Times New Roman" w:cs="Times New Roman"/>
                <w:sz w:val="24"/>
                <w:szCs w:val="24"/>
              </w:rPr>
            </w:pPr>
            <w:r>
              <w:t>应急预案</w:t>
            </w:r>
          </w:p>
        </w:tc>
        <w:tc>
          <w:tcPr>
            <w:tcW w:w="5625" w:type="dxa"/>
            <w:noWrap w:val="0"/>
            <w:vAlign w:val="center"/>
          </w:tcPr>
          <w:p>
            <w:pPr>
              <w:pStyle w:val="81"/>
              <w:autoSpaceDN w:val="0"/>
              <w:jc w:val="left"/>
              <w:rPr>
                <w:rFonts w:ascii="Times New Roman" w:hAnsi="Times New Roman" w:cs="Times New Roman"/>
                <w:sz w:val="24"/>
                <w:szCs w:val="24"/>
              </w:rPr>
            </w:pPr>
            <w:r>
              <w:rPr>
                <w:rFonts w:ascii="Times New Roman" w:hAnsi="宋体" w:cs="Times New Roman"/>
                <w:sz w:val="24"/>
                <w:szCs w:val="24"/>
              </w:rPr>
              <w:t>对供应商提供的应急预案进行综合评价，评价内容包括但不限于下列因素：</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）应急预案适用性及各项要素的衔接；</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）响应分级的适用性及科学性；</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3</w:t>
            </w:r>
            <w:r>
              <w:rPr>
                <w:rFonts w:ascii="Times New Roman" w:hAnsi="宋体"/>
                <w:sz w:val="24"/>
                <w:szCs w:val="24"/>
              </w:rPr>
              <w:t>）应急组织机构及职责分工；</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4</w:t>
            </w:r>
            <w:r>
              <w:rPr>
                <w:rFonts w:ascii="Times New Roman" w:hAnsi="宋体"/>
                <w:sz w:val="24"/>
                <w:szCs w:val="24"/>
              </w:rPr>
              <w:t>）应急响应程序完整；</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5</w:t>
            </w:r>
            <w:r>
              <w:rPr>
                <w:rFonts w:ascii="Times New Roman" w:hAnsi="宋体"/>
                <w:sz w:val="24"/>
                <w:szCs w:val="24"/>
              </w:rPr>
              <w:t>）应急保障完善；</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6</w:t>
            </w:r>
            <w:r>
              <w:rPr>
                <w:rFonts w:ascii="Times New Roman" w:hAnsi="宋体"/>
                <w:sz w:val="24"/>
                <w:szCs w:val="24"/>
              </w:rPr>
              <w:t>）应急处置措施科学有效；</w:t>
            </w:r>
          </w:p>
          <w:p>
            <w:pPr>
              <w:pStyle w:val="23"/>
              <w:rPr>
                <w:rFonts w:ascii="Times New Roman" w:hAnsi="Times New Roman"/>
                <w:sz w:val="24"/>
                <w:szCs w:val="24"/>
              </w:rPr>
            </w:pPr>
            <w:r>
              <w:rPr>
                <w:rFonts w:ascii="Times New Roman" w:hAnsi="宋体"/>
                <w:sz w:val="24"/>
                <w:szCs w:val="24"/>
              </w:rPr>
              <w:t>根据上述每个评审因素的合理性、可行性进行横向比较，每个评审因素得</w:t>
            </w:r>
            <w:r>
              <w:rPr>
                <w:rFonts w:ascii="Times New Roman" w:hAnsi="Times New Roman"/>
                <w:sz w:val="24"/>
                <w:szCs w:val="24"/>
              </w:rPr>
              <w:t>0-3</w:t>
            </w:r>
            <w:r>
              <w:rPr>
                <w:rFonts w:ascii="Times New Roman" w:hAnsi="宋体"/>
                <w:sz w:val="24"/>
                <w:szCs w:val="24"/>
              </w:rPr>
              <w:t>分，最高</w:t>
            </w:r>
            <w:r>
              <w:rPr>
                <w:rFonts w:ascii="Times New Roman" w:hAnsi="Times New Roman"/>
                <w:sz w:val="24"/>
                <w:szCs w:val="24"/>
              </w:rPr>
              <w:t>18</w:t>
            </w:r>
            <w:r>
              <w:rPr>
                <w:rFonts w:ascii="Times New Roman" w:hAnsi="宋体"/>
                <w:sz w:val="24"/>
                <w:szCs w:val="24"/>
              </w:rPr>
              <w:t>分。</w:t>
            </w:r>
          </w:p>
        </w:tc>
        <w:tc>
          <w:tcPr>
            <w:tcW w:w="1337" w:type="dxa"/>
            <w:noWrap w:val="0"/>
            <w:vAlign w:val="center"/>
          </w:tcPr>
          <w:p>
            <w:pPr>
              <w:pStyle w:val="23"/>
              <w:jc w:val="center"/>
              <w:rPr>
                <w:rFonts w:ascii="Times New Roman" w:hAnsi="Times New Roman"/>
                <w:sz w:val="24"/>
                <w:szCs w:val="24"/>
              </w:rPr>
            </w:pPr>
            <w:r>
              <w:rPr>
                <w:rFonts w:ascii="Times New Roman" w:hAnsi="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noWrap w:val="0"/>
            <w:vAlign w:val="center"/>
          </w:tcPr>
          <w:p>
            <w:pPr>
              <w:pStyle w:val="23"/>
              <w:jc w:val="center"/>
              <w:rPr>
                <w:rFonts w:ascii="Times New Roman" w:hAnsi="Times New Roman"/>
                <w:sz w:val="24"/>
                <w:szCs w:val="24"/>
              </w:rPr>
            </w:pPr>
            <w:r>
              <w:rPr>
                <w:rFonts w:ascii="Times New Roman" w:hAnsi="Times New Roman"/>
                <w:sz w:val="24"/>
                <w:szCs w:val="24"/>
              </w:rPr>
              <w:t>2</w:t>
            </w:r>
          </w:p>
        </w:tc>
        <w:tc>
          <w:tcPr>
            <w:tcW w:w="1421" w:type="dxa"/>
            <w:noWrap w:val="0"/>
            <w:vAlign w:val="center"/>
          </w:tcPr>
          <w:p>
            <w:pPr>
              <w:pStyle w:val="23"/>
              <w:jc w:val="center"/>
              <w:rPr>
                <w:rFonts w:ascii="Times New Roman" w:hAnsi="Times New Roman"/>
                <w:sz w:val="24"/>
                <w:szCs w:val="24"/>
              </w:rPr>
            </w:pPr>
            <w:r>
              <w:rPr>
                <w:rFonts w:ascii="Times New Roman" w:hAnsi="宋体"/>
                <w:sz w:val="24"/>
                <w:szCs w:val="24"/>
              </w:rPr>
              <w:t>应急管理综合系统方案</w:t>
            </w:r>
          </w:p>
        </w:tc>
        <w:tc>
          <w:tcPr>
            <w:tcW w:w="5625" w:type="dxa"/>
            <w:noWrap w:val="0"/>
            <w:vAlign w:val="center"/>
          </w:tcPr>
          <w:p>
            <w:pPr>
              <w:pStyle w:val="81"/>
              <w:autoSpaceDN w:val="0"/>
              <w:jc w:val="left"/>
              <w:rPr>
                <w:rFonts w:ascii="Times New Roman" w:hAnsi="Times New Roman" w:cs="Times New Roman"/>
                <w:sz w:val="24"/>
                <w:szCs w:val="24"/>
              </w:rPr>
            </w:pPr>
            <w:r>
              <w:rPr>
                <w:rFonts w:ascii="Times New Roman" w:hAnsi="宋体" w:cs="Times New Roman"/>
                <w:sz w:val="24"/>
                <w:szCs w:val="24"/>
              </w:rPr>
              <w:t>对供应商提供的应急管理综合系统方案进行综合评价，评价内容包括但不限于下列因素：</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）应急综合信息门户各板块完整且分布合理；</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）辖区基础信息、监测数据、视频图像信息、企业分布、应急资源分布清晰完整，检索快速有效；</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3</w:t>
            </w:r>
            <w:r>
              <w:rPr>
                <w:rFonts w:ascii="Times New Roman" w:hAnsi="宋体"/>
                <w:sz w:val="24"/>
                <w:szCs w:val="24"/>
              </w:rPr>
              <w:t>）安全生产信息、隐患信息、</w:t>
            </w:r>
            <w:r>
              <w:rPr>
                <w:rFonts w:ascii="Times New Roman" w:hAnsi="Times New Roman"/>
                <w:sz w:val="24"/>
                <w:szCs w:val="24"/>
              </w:rPr>
              <w:t>“</w:t>
            </w:r>
            <w:r>
              <w:rPr>
                <w:rFonts w:ascii="Times New Roman" w:hAnsi="宋体"/>
                <w:sz w:val="24"/>
                <w:szCs w:val="24"/>
              </w:rPr>
              <w:t>两重点一重大</w:t>
            </w:r>
            <w:r>
              <w:rPr>
                <w:rFonts w:ascii="Times New Roman" w:hAnsi="Times New Roman"/>
                <w:sz w:val="24"/>
                <w:szCs w:val="24"/>
              </w:rPr>
              <w:t>”</w:t>
            </w:r>
            <w:r>
              <w:rPr>
                <w:rFonts w:ascii="Times New Roman" w:hAnsi="宋体"/>
                <w:sz w:val="24"/>
                <w:szCs w:val="24"/>
              </w:rPr>
              <w:t>信息、监测监控信息、报警预警信息更新及时；</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4</w:t>
            </w:r>
            <w:r>
              <w:rPr>
                <w:rFonts w:ascii="Times New Roman" w:hAnsi="宋体"/>
                <w:sz w:val="24"/>
                <w:szCs w:val="24"/>
              </w:rPr>
              <w:t>）自然灾害监测预警、防灾减灾态势、事件动态清晰完整；</w:t>
            </w:r>
          </w:p>
          <w:p>
            <w:pPr>
              <w:rPr>
                <w:rFonts w:ascii="Times New Roman" w:hAnsi="Times New Roman"/>
              </w:rPr>
            </w:pPr>
            <w:r>
              <w:rPr>
                <w:rFonts w:ascii="Times New Roman" w:hAnsi="宋体"/>
                <w:sz w:val="24"/>
                <w:szCs w:val="24"/>
              </w:rPr>
              <w:t>（</w:t>
            </w:r>
            <w:r>
              <w:rPr>
                <w:rFonts w:ascii="Times New Roman" w:hAnsi="Times New Roman"/>
                <w:sz w:val="24"/>
                <w:szCs w:val="24"/>
              </w:rPr>
              <w:t>5</w:t>
            </w:r>
            <w:r>
              <w:rPr>
                <w:rFonts w:ascii="Times New Roman" w:hAnsi="宋体"/>
                <w:sz w:val="24"/>
                <w:szCs w:val="24"/>
              </w:rPr>
              <w:t>）突发事件总体统计、当前突发事件处置情况记录及时完整；</w:t>
            </w:r>
          </w:p>
          <w:p>
            <w:pPr>
              <w:pStyle w:val="23"/>
              <w:rPr>
                <w:rFonts w:ascii="Times New Roman" w:hAnsi="Times New Roman"/>
                <w:sz w:val="24"/>
                <w:szCs w:val="24"/>
              </w:rPr>
            </w:pPr>
            <w:r>
              <w:rPr>
                <w:rFonts w:ascii="Times New Roman" w:hAnsi="宋体"/>
                <w:sz w:val="24"/>
                <w:szCs w:val="24"/>
              </w:rPr>
              <w:t>根据上述每个评审因素的合理性、可行性进行横向比较，每个评审因素得</w:t>
            </w:r>
            <w:r>
              <w:rPr>
                <w:rFonts w:ascii="Times New Roman" w:hAnsi="Times New Roman"/>
                <w:sz w:val="24"/>
                <w:szCs w:val="24"/>
              </w:rPr>
              <w:t>0-2</w:t>
            </w:r>
            <w:r>
              <w:rPr>
                <w:rFonts w:ascii="Times New Roman" w:hAnsi="宋体"/>
                <w:sz w:val="24"/>
                <w:szCs w:val="24"/>
              </w:rPr>
              <w:t>分，最高</w:t>
            </w:r>
            <w:r>
              <w:rPr>
                <w:rFonts w:ascii="Times New Roman" w:hAnsi="Times New Roman"/>
                <w:sz w:val="24"/>
                <w:szCs w:val="24"/>
              </w:rPr>
              <w:t>10</w:t>
            </w:r>
            <w:r>
              <w:rPr>
                <w:rFonts w:ascii="Times New Roman" w:hAnsi="宋体"/>
                <w:sz w:val="24"/>
                <w:szCs w:val="24"/>
              </w:rPr>
              <w:t>分。</w:t>
            </w:r>
          </w:p>
        </w:tc>
        <w:tc>
          <w:tcPr>
            <w:tcW w:w="1337" w:type="dxa"/>
            <w:noWrap w:val="0"/>
            <w:vAlign w:val="center"/>
          </w:tcPr>
          <w:p>
            <w:pPr>
              <w:pStyle w:val="23"/>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noWrap w:val="0"/>
            <w:vAlign w:val="center"/>
          </w:tcPr>
          <w:p>
            <w:pPr>
              <w:pStyle w:val="23"/>
              <w:jc w:val="center"/>
              <w:rPr>
                <w:rFonts w:ascii="Times New Roman" w:hAnsi="Times New Roman"/>
                <w:sz w:val="24"/>
                <w:szCs w:val="24"/>
              </w:rPr>
            </w:pPr>
            <w:r>
              <w:rPr>
                <w:rFonts w:ascii="Times New Roman" w:hAnsi="Times New Roman"/>
                <w:sz w:val="24"/>
                <w:szCs w:val="24"/>
              </w:rPr>
              <w:t>3</w:t>
            </w:r>
          </w:p>
        </w:tc>
        <w:tc>
          <w:tcPr>
            <w:tcW w:w="1421" w:type="dxa"/>
            <w:noWrap w:val="0"/>
            <w:vAlign w:val="center"/>
          </w:tcPr>
          <w:p>
            <w:pPr>
              <w:pStyle w:val="23"/>
              <w:jc w:val="center"/>
              <w:rPr>
                <w:rFonts w:ascii="Times New Roman" w:hAnsi="Times New Roman"/>
                <w:sz w:val="24"/>
                <w:szCs w:val="24"/>
              </w:rPr>
            </w:pPr>
            <w:r>
              <w:rPr>
                <w:rFonts w:ascii="Times New Roman" w:hAnsi="宋体"/>
                <w:sz w:val="24"/>
                <w:szCs w:val="24"/>
              </w:rPr>
              <w:t>隐患排查治理系统方案</w:t>
            </w:r>
          </w:p>
        </w:tc>
        <w:tc>
          <w:tcPr>
            <w:tcW w:w="5625" w:type="dxa"/>
            <w:noWrap w:val="0"/>
            <w:vAlign w:val="center"/>
          </w:tcPr>
          <w:p>
            <w:pPr>
              <w:pStyle w:val="81"/>
              <w:autoSpaceDN w:val="0"/>
              <w:jc w:val="left"/>
              <w:rPr>
                <w:rFonts w:ascii="Times New Roman" w:hAnsi="Times New Roman" w:cs="Times New Roman"/>
                <w:sz w:val="24"/>
                <w:szCs w:val="24"/>
              </w:rPr>
            </w:pPr>
            <w:r>
              <w:rPr>
                <w:rFonts w:ascii="Times New Roman" w:hAnsi="宋体" w:cs="Times New Roman"/>
                <w:sz w:val="24"/>
                <w:szCs w:val="24"/>
              </w:rPr>
              <w:t>对供应商提供的隐患排查治理系统方案进行综合评价，评价内容包括但不限于下列因素：</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）被排查企业基本信息、许可证照、安全生产管理、企业示意图、生产工艺等信息真实完善；</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）重大危险源信息管理及台账更新便捷有效；</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3</w:t>
            </w:r>
            <w:r>
              <w:rPr>
                <w:rFonts w:ascii="Times New Roman" w:hAnsi="宋体"/>
                <w:sz w:val="24"/>
                <w:szCs w:val="24"/>
              </w:rPr>
              <w:t>）隐患排查治理流程完整，排查计划、排查任务、排查记录、整改验收、隐患台账、隐患库等环节设置科学；</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4</w:t>
            </w:r>
            <w:r>
              <w:rPr>
                <w:rFonts w:ascii="Times New Roman" w:hAnsi="宋体"/>
                <w:sz w:val="24"/>
                <w:szCs w:val="24"/>
              </w:rPr>
              <w:t>）隐患辅助决策操作简易，各区域、各类别数量统计科学有效；</w:t>
            </w:r>
          </w:p>
          <w:p>
            <w:pPr>
              <w:pStyle w:val="23"/>
              <w:rPr>
                <w:rFonts w:ascii="Times New Roman" w:hAnsi="Times New Roman"/>
                <w:sz w:val="24"/>
                <w:szCs w:val="24"/>
              </w:rPr>
            </w:pPr>
            <w:r>
              <w:rPr>
                <w:rFonts w:ascii="Times New Roman" w:hAnsi="宋体"/>
                <w:sz w:val="24"/>
                <w:szCs w:val="24"/>
              </w:rPr>
              <w:t>根据上述每个评审因素的合理性、可行性进行横向比较，每个评审因素得</w:t>
            </w:r>
            <w:r>
              <w:rPr>
                <w:rFonts w:ascii="Times New Roman" w:hAnsi="Times New Roman"/>
                <w:sz w:val="24"/>
                <w:szCs w:val="24"/>
              </w:rPr>
              <w:t>0-2</w:t>
            </w:r>
            <w:r>
              <w:rPr>
                <w:rFonts w:ascii="Times New Roman" w:hAnsi="宋体"/>
                <w:sz w:val="24"/>
                <w:szCs w:val="24"/>
              </w:rPr>
              <w:t>分，最高</w:t>
            </w:r>
            <w:r>
              <w:rPr>
                <w:rFonts w:ascii="Times New Roman" w:hAnsi="Times New Roman"/>
                <w:sz w:val="24"/>
                <w:szCs w:val="24"/>
              </w:rPr>
              <w:t>8</w:t>
            </w:r>
            <w:r>
              <w:rPr>
                <w:rFonts w:ascii="Times New Roman" w:hAnsi="宋体"/>
                <w:sz w:val="24"/>
                <w:szCs w:val="24"/>
              </w:rPr>
              <w:t>分。</w:t>
            </w:r>
          </w:p>
        </w:tc>
        <w:tc>
          <w:tcPr>
            <w:tcW w:w="1337" w:type="dxa"/>
            <w:noWrap w:val="0"/>
            <w:vAlign w:val="center"/>
          </w:tcPr>
          <w:p>
            <w:pPr>
              <w:pStyle w:val="23"/>
              <w:jc w:val="center"/>
              <w:rPr>
                <w:rFonts w:ascii="Times New Roman" w:hAnsi="Times New Roman"/>
                <w:sz w:val="24"/>
                <w:szCs w:val="24"/>
              </w:rPr>
            </w:pPr>
            <w:r>
              <w:rPr>
                <w:rFonts w:ascii="Times New Roman" w:hAnsi="Times New Roman"/>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7" w:type="dxa"/>
            <w:noWrap w:val="0"/>
            <w:vAlign w:val="center"/>
          </w:tcPr>
          <w:p>
            <w:pPr>
              <w:pStyle w:val="23"/>
              <w:jc w:val="center"/>
              <w:rPr>
                <w:rFonts w:ascii="Times New Roman" w:hAnsi="Times New Roman"/>
                <w:kern w:val="0"/>
                <w:sz w:val="24"/>
                <w:szCs w:val="24"/>
              </w:rPr>
            </w:pPr>
            <w:r>
              <w:rPr>
                <w:rFonts w:ascii="Times New Roman" w:hAnsi="Times New Roman"/>
                <w:kern w:val="0"/>
                <w:sz w:val="24"/>
                <w:szCs w:val="24"/>
              </w:rPr>
              <w:t>4</w:t>
            </w:r>
          </w:p>
        </w:tc>
        <w:tc>
          <w:tcPr>
            <w:tcW w:w="1421" w:type="dxa"/>
            <w:noWrap w:val="0"/>
            <w:vAlign w:val="center"/>
          </w:tcPr>
          <w:p>
            <w:pPr>
              <w:pStyle w:val="23"/>
              <w:jc w:val="center"/>
              <w:rPr>
                <w:rFonts w:ascii="Times New Roman" w:hAnsi="Times New Roman"/>
                <w:b/>
                <w:bCs/>
                <w:sz w:val="24"/>
                <w:szCs w:val="24"/>
              </w:rPr>
            </w:pPr>
            <w:r>
              <w:rPr>
                <w:rFonts w:ascii="Times New Roman" w:hAnsi="宋体"/>
                <w:sz w:val="24"/>
                <w:szCs w:val="24"/>
              </w:rPr>
              <w:t>售后服务方案</w:t>
            </w:r>
          </w:p>
        </w:tc>
        <w:tc>
          <w:tcPr>
            <w:tcW w:w="5625" w:type="dxa"/>
            <w:noWrap w:val="0"/>
            <w:vAlign w:val="center"/>
          </w:tcPr>
          <w:p>
            <w:pPr>
              <w:pStyle w:val="52"/>
              <w:widowControl/>
              <w:spacing w:line="400" w:lineRule="exact"/>
              <w:ind w:right="210" w:rightChars="100" w:firstLine="0" w:firstLineChars="0"/>
              <w:textAlignment w:val="top"/>
              <w:rPr>
                <w:rFonts w:ascii="Times New Roman" w:hAnsi="Times New Roman"/>
                <w:sz w:val="24"/>
                <w:szCs w:val="24"/>
              </w:rPr>
            </w:pPr>
            <w:r>
              <w:rPr>
                <w:rFonts w:ascii="Times New Roman" w:hAnsi="宋体"/>
                <w:color w:val="000000"/>
                <w:sz w:val="24"/>
                <w:szCs w:val="24"/>
              </w:rPr>
              <w:t>根据磋商文件要求响应情况</w:t>
            </w:r>
            <w:r>
              <w:rPr>
                <w:rFonts w:ascii="Times New Roman" w:hAnsi="宋体"/>
                <w:sz w:val="24"/>
                <w:szCs w:val="24"/>
              </w:rPr>
              <w:t>，对供应商提供的售后服务方案进行综合评价，评价内容包括包括但不限于下列因素：</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）售后服务响应时间；</w:t>
            </w:r>
          </w:p>
          <w:p>
            <w:pPr>
              <w:pStyle w:val="23"/>
              <w:rPr>
                <w:rFonts w:ascii="Times New Roman" w:hAnsi="Times New Roman"/>
                <w:sz w:val="24"/>
                <w:szCs w:val="24"/>
              </w:rPr>
            </w:pPr>
            <w:r>
              <w:rPr>
                <w:rFonts w:hint="eastAsia" w:ascii="Times New Roman" w:hAnsi="宋体"/>
                <w:sz w:val="24"/>
                <w:szCs w:val="24"/>
              </w:rPr>
              <w:t>（2）</w:t>
            </w:r>
            <w:r>
              <w:rPr>
                <w:rFonts w:ascii="Times New Roman" w:hAnsi="宋体"/>
                <w:sz w:val="24"/>
                <w:szCs w:val="24"/>
              </w:rPr>
              <w:t>售后服务内容；</w:t>
            </w:r>
          </w:p>
          <w:p>
            <w:pPr>
              <w:pStyle w:val="23"/>
              <w:rPr>
                <w:rFonts w:ascii="Times New Roman" w:hAnsi="Times New Roman"/>
                <w:sz w:val="24"/>
                <w:szCs w:val="24"/>
              </w:rPr>
            </w:pPr>
            <w:r>
              <w:rPr>
                <w:rFonts w:hint="eastAsia" w:ascii="Times New Roman" w:hAnsi="宋体"/>
                <w:sz w:val="24"/>
                <w:szCs w:val="24"/>
              </w:rPr>
              <w:t>（3）</w:t>
            </w:r>
            <w:r>
              <w:rPr>
                <w:rFonts w:ascii="Times New Roman" w:hAnsi="宋体"/>
                <w:sz w:val="24"/>
                <w:szCs w:val="24"/>
              </w:rPr>
              <w:t>售后服务流程；</w:t>
            </w:r>
          </w:p>
          <w:p>
            <w:pPr>
              <w:pStyle w:val="23"/>
              <w:rPr>
                <w:rFonts w:ascii="Times New Roman" w:hAnsi="Times New Roman"/>
                <w:sz w:val="24"/>
                <w:szCs w:val="24"/>
              </w:rPr>
            </w:pPr>
            <w:r>
              <w:rPr>
                <w:rFonts w:hint="eastAsia" w:ascii="Times New Roman" w:hAnsi="宋体"/>
                <w:sz w:val="24"/>
                <w:szCs w:val="24"/>
              </w:rPr>
              <w:t>（4）</w:t>
            </w:r>
            <w:r>
              <w:rPr>
                <w:rFonts w:ascii="Times New Roman" w:hAnsi="宋体"/>
                <w:sz w:val="24"/>
                <w:szCs w:val="24"/>
              </w:rPr>
              <w:t>售后服务承诺；</w:t>
            </w:r>
          </w:p>
          <w:p>
            <w:pPr>
              <w:pStyle w:val="23"/>
              <w:rPr>
                <w:rFonts w:ascii="Times New Roman" w:hAnsi="Times New Roman"/>
                <w:sz w:val="24"/>
                <w:szCs w:val="24"/>
              </w:rPr>
            </w:pPr>
            <w:r>
              <w:rPr>
                <w:rFonts w:ascii="Times New Roman" w:hAnsi="宋体"/>
                <w:sz w:val="24"/>
                <w:szCs w:val="24"/>
              </w:rPr>
              <w:t>根据上述每个评审因素的合理性、可行性进行横向比较，每个评审因素得</w:t>
            </w:r>
            <w:r>
              <w:rPr>
                <w:rFonts w:ascii="Times New Roman" w:hAnsi="Times New Roman"/>
                <w:sz w:val="24"/>
                <w:szCs w:val="24"/>
              </w:rPr>
              <w:t>0-2</w:t>
            </w:r>
            <w:r>
              <w:rPr>
                <w:rFonts w:ascii="Times New Roman" w:hAnsi="宋体"/>
                <w:sz w:val="24"/>
                <w:szCs w:val="24"/>
              </w:rPr>
              <w:t>分，最高</w:t>
            </w:r>
            <w:r>
              <w:rPr>
                <w:rFonts w:ascii="Times New Roman" w:hAnsi="Times New Roman"/>
                <w:sz w:val="24"/>
                <w:szCs w:val="24"/>
              </w:rPr>
              <w:t>8</w:t>
            </w:r>
            <w:r>
              <w:rPr>
                <w:rFonts w:ascii="Times New Roman" w:hAnsi="宋体"/>
                <w:sz w:val="24"/>
                <w:szCs w:val="24"/>
              </w:rPr>
              <w:t>分。</w:t>
            </w:r>
          </w:p>
        </w:tc>
        <w:tc>
          <w:tcPr>
            <w:tcW w:w="1337" w:type="dxa"/>
            <w:noWrap w:val="0"/>
            <w:vAlign w:val="center"/>
          </w:tcPr>
          <w:p>
            <w:pPr>
              <w:pStyle w:val="23"/>
              <w:jc w:val="center"/>
              <w:rPr>
                <w:rFonts w:ascii="Times New Roman" w:hAnsi="Times New Roman"/>
                <w:kern w:val="0"/>
                <w:sz w:val="24"/>
                <w:szCs w:val="24"/>
              </w:rPr>
            </w:pPr>
            <w:r>
              <w:rPr>
                <w:rFonts w:ascii="Times New Roman" w:hAnsi="Times New Roman"/>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7" w:type="dxa"/>
            <w:noWrap w:val="0"/>
            <w:vAlign w:val="center"/>
          </w:tcPr>
          <w:p>
            <w:pPr>
              <w:pStyle w:val="23"/>
              <w:jc w:val="center"/>
              <w:rPr>
                <w:rFonts w:ascii="Times New Roman" w:hAnsi="Times New Roman"/>
                <w:kern w:val="0"/>
                <w:sz w:val="24"/>
                <w:szCs w:val="24"/>
              </w:rPr>
            </w:pPr>
            <w:r>
              <w:rPr>
                <w:rFonts w:ascii="Times New Roman" w:hAnsi="Times New Roman"/>
                <w:kern w:val="0"/>
                <w:sz w:val="24"/>
                <w:szCs w:val="24"/>
              </w:rPr>
              <w:t>5</w:t>
            </w:r>
          </w:p>
        </w:tc>
        <w:tc>
          <w:tcPr>
            <w:tcW w:w="1421" w:type="dxa"/>
            <w:noWrap w:val="0"/>
            <w:vAlign w:val="center"/>
          </w:tcPr>
          <w:p>
            <w:pPr>
              <w:pStyle w:val="23"/>
              <w:rPr>
                <w:rFonts w:ascii="Times New Roman" w:hAnsi="Times New Roman"/>
                <w:sz w:val="24"/>
                <w:szCs w:val="24"/>
              </w:rPr>
            </w:pPr>
            <w:r>
              <w:rPr>
                <w:rFonts w:ascii="Times New Roman" w:hAnsi="宋体"/>
                <w:sz w:val="24"/>
                <w:szCs w:val="24"/>
              </w:rPr>
              <w:t>质量保障措施</w:t>
            </w:r>
          </w:p>
        </w:tc>
        <w:tc>
          <w:tcPr>
            <w:tcW w:w="5625" w:type="dxa"/>
            <w:noWrap w:val="0"/>
            <w:vAlign w:val="center"/>
          </w:tcPr>
          <w:p>
            <w:pPr>
              <w:pStyle w:val="23"/>
              <w:rPr>
                <w:rFonts w:ascii="Times New Roman" w:hAnsi="Times New Roman"/>
                <w:sz w:val="24"/>
                <w:szCs w:val="24"/>
              </w:rPr>
            </w:pPr>
            <w:r>
              <w:rPr>
                <w:rFonts w:ascii="Times New Roman" w:hAnsi="宋体"/>
                <w:sz w:val="24"/>
                <w:szCs w:val="24"/>
              </w:rPr>
              <w:t>根据磋商文件要求和服务响应情况，对供应商提供的质量保障措施进行评价，评价内容包括包括包括但不限于下列因素：</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）产品的质量保证；</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）质保期内、外维修及服务等；</w:t>
            </w:r>
          </w:p>
          <w:p>
            <w:pPr>
              <w:pStyle w:val="23"/>
              <w:rPr>
                <w:rFonts w:ascii="Times New Roman" w:hAnsi="Times New Roman"/>
                <w:sz w:val="24"/>
                <w:szCs w:val="24"/>
              </w:rPr>
            </w:pPr>
            <w:r>
              <w:rPr>
                <w:rFonts w:ascii="Times New Roman" w:hAnsi="宋体"/>
                <w:sz w:val="24"/>
                <w:szCs w:val="24"/>
              </w:rPr>
              <w:t>根据上述每个评审因素的合理性、可行性进行横向比较，每个评审因素得</w:t>
            </w:r>
            <w:r>
              <w:rPr>
                <w:rFonts w:ascii="Times New Roman" w:hAnsi="Times New Roman"/>
                <w:sz w:val="24"/>
                <w:szCs w:val="24"/>
              </w:rPr>
              <w:t>0-1</w:t>
            </w:r>
            <w:r>
              <w:rPr>
                <w:rFonts w:ascii="Times New Roman" w:hAnsi="宋体"/>
                <w:sz w:val="24"/>
                <w:szCs w:val="24"/>
              </w:rPr>
              <w:t>分，最高</w:t>
            </w:r>
            <w:r>
              <w:rPr>
                <w:rFonts w:ascii="Times New Roman" w:hAnsi="Times New Roman"/>
                <w:sz w:val="24"/>
                <w:szCs w:val="24"/>
              </w:rPr>
              <w:t>2</w:t>
            </w:r>
            <w:r>
              <w:rPr>
                <w:rFonts w:ascii="Times New Roman" w:hAnsi="宋体"/>
                <w:sz w:val="24"/>
                <w:szCs w:val="24"/>
              </w:rPr>
              <w:t>分。</w:t>
            </w:r>
          </w:p>
        </w:tc>
        <w:tc>
          <w:tcPr>
            <w:tcW w:w="1337" w:type="dxa"/>
            <w:noWrap w:val="0"/>
            <w:vAlign w:val="center"/>
          </w:tcPr>
          <w:p>
            <w:pPr>
              <w:pStyle w:val="23"/>
              <w:jc w:val="center"/>
              <w:rPr>
                <w:rFonts w:ascii="Times New Roman" w:hAnsi="Times New Roman"/>
                <w:kern w:val="0"/>
                <w:sz w:val="24"/>
                <w:szCs w:val="24"/>
              </w:rPr>
            </w:pPr>
            <w:r>
              <w:rPr>
                <w:rFonts w:ascii="Times New Roman" w:hAnsi="Times New Roman"/>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noWrap w:val="0"/>
            <w:vAlign w:val="center"/>
          </w:tcPr>
          <w:p>
            <w:pPr>
              <w:pStyle w:val="23"/>
              <w:jc w:val="center"/>
              <w:rPr>
                <w:rFonts w:ascii="Times New Roman" w:hAnsi="Times New Roman"/>
                <w:kern w:val="0"/>
                <w:sz w:val="24"/>
                <w:szCs w:val="24"/>
              </w:rPr>
            </w:pPr>
            <w:r>
              <w:rPr>
                <w:rFonts w:ascii="Times New Roman" w:hAnsi="Times New Roman"/>
                <w:kern w:val="0"/>
                <w:sz w:val="24"/>
                <w:szCs w:val="24"/>
              </w:rPr>
              <w:t>6</w:t>
            </w:r>
          </w:p>
        </w:tc>
        <w:tc>
          <w:tcPr>
            <w:tcW w:w="1421" w:type="dxa"/>
            <w:noWrap w:val="0"/>
            <w:vAlign w:val="center"/>
          </w:tcPr>
          <w:p>
            <w:pPr>
              <w:pStyle w:val="23"/>
              <w:jc w:val="center"/>
              <w:rPr>
                <w:rFonts w:ascii="Times New Roman" w:hAnsi="Times New Roman"/>
                <w:sz w:val="24"/>
                <w:szCs w:val="24"/>
              </w:rPr>
            </w:pPr>
            <w:r>
              <w:rPr>
                <w:rFonts w:ascii="Times New Roman" w:hAnsi="宋体"/>
                <w:sz w:val="24"/>
                <w:szCs w:val="24"/>
              </w:rPr>
              <w:t>培训方案</w:t>
            </w:r>
          </w:p>
        </w:tc>
        <w:tc>
          <w:tcPr>
            <w:tcW w:w="5625" w:type="dxa"/>
            <w:noWrap w:val="0"/>
            <w:vAlign w:val="center"/>
          </w:tcPr>
          <w:p>
            <w:pPr>
              <w:pStyle w:val="52"/>
              <w:widowControl/>
              <w:spacing w:line="400" w:lineRule="exact"/>
              <w:ind w:right="210" w:rightChars="100" w:firstLine="0" w:firstLineChars="0"/>
              <w:textAlignment w:val="top"/>
              <w:rPr>
                <w:rFonts w:ascii="Times New Roman" w:hAnsi="Times New Roman"/>
                <w:sz w:val="24"/>
                <w:szCs w:val="24"/>
              </w:rPr>
            </w:pPr>
            <w:r>
              <w:rPr>
                <w:rFonts w:ascii="Times New Roman" w:hAnsi="宋体"/>
                <w:color w:val="000000"/>
                <w:sz w:val="24"/>
                <w:szCs w:val="24"/>
              </w:rPr>
              <w:t>根据磋商文件要求响应情况</w:t>
            </w:r>
            <w:r>
              <w:rPr>
                <w:rFonts w:ascii="Times New Roman" w:hAnsi="宋体"/>
                <w:sz w:val="24"/>
                <w:szCs w:val="24"/>
              </w:rPr>
              <w:t>，对供应商提供的培训内容进行评价，评价内容包括包括但不限于下列因素：</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1</w:t>
            </w:r>
            <w:r>
              <w:rPr>
                <w:rFonts w:ascii="Times New Roman" w:hAnsi="宋体"/>
                <w:sz w:val="24"/>
                <w:szCs w:val="24"/>
              </w:rPr>
              <w:t>）培训方式；</w:t>
            </w:r>
            <w:r>
              <w:rPr>
                <w:rFonts w:ascii="Times New Roman" w:hAnsi="Times New Roman"/>
                <w:sz w:val="24"/>
                <w:szCs w:val="24"/>
              </w:rPr>
              <w:t xml:space="preserve"> </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）培训内容；</w:t>
            </w:r>
            <w:r>
              <w:rPr>
                <w:rFonts w:ascii="Times New Roman" w:hAnsi="Times New Roman"/>
                <w:sz w:val="24"/>
                <w:szCs w:val="24"/>
              </w:rPr>
              <w:t xml:space="preserve"> </w:t>
            </w:r>
          </w:p>
          <w:p>
            <w:pPr>
              <w:pStyle w:val="23"/>
              <w:rPr>
                <w:rFonts w:ascii="Times New Roman" w:hAnsi="Times New Roman"/>
                <w:sz w:val="24"/>
                <w:szCs w:val="24"/>
              </w:rPr>
            </w:pPr>
            <w:r>
              <w:rPr>
                <w:rFonts w:ascii="Times New Roman" w:hAnsi="宋体"/>
                <w:sz w:val="24"/>
                <w:szCs w:val="24"/>
              </w:rPr>
              <w:t>（</w:t>
            </w:r>
            <w:r>
              <w:rPr>
                <w:rFonts w:ascii="Times New Roman" w:hAnsi="Times New Roman"/>
                <w:sz w:val="24"/>
                <w:szCs w:val="24"/>
              </w:rPr>
              <w:t>3</w:t>
            </w:r>
            <w:r>
              <w:rPr>
                <w:rFonts w:ascii="Times New Roman" w:hAnsi="宋体"/>
                <w:sz w:val="24"/>
                <w:szCs w:val="24"/>
              </w:rPr>
              <w:t>）培训计划；</w:t>
            </w:r>
          </w:p>
          <w:p>
            <w:pPr>
              <w:pStyle w:val="23"/>
              <w:rPr>
                <w:rFonts w:ascii="Times New Roman" w:hAnsi="Times New Roman"/>
              </w:rPr>
            </w:pPr>
            <w:r>
              <w:rPr>
                <w:rFonts w:ascii="Times New Roman" w:hAnsi="宋体"/>
                <w:sz w:val="24"/>
                <w:szCs w:val="24"/>
              </w:rPr>
              <w:t>（</w:t>
            </w:r>
            <w:r>
              <w:rPr>
                <w:rFonts w:ascii="Times New Roman" w:hAnsi="Times New Roman"/>
                <w:sz w:val="24"/>
                <w:szCs w:val="24"/>
              </w:rPr>
              <w:t>4</w:t>
            </w:r>
            <w:r>
              <w:rPr>
                <w:rFonts w:ascii="Times New Roman" w:hAnsi="宋体"/>
                <w:sz w:val="24"/>
                <w:szCs w:val="24"/>
              </w:rPr>
              <w:t>）培训效果；</w:t>
            </w:r>
            <w:r>
              <w:rPr>
                <w:rFonts w:ascii="Times New Roman" w:hAnsi="Times New Roman"/>
                <w:sz w:val="24"/>
                <w:szCs w:val="24"/>
              </w:rPr>
              <w:t xml:space="preserve"> </w:t>
            </w:r>
          </w:p>
          <w:p>
            <w:pPr>
              <w:pStyle w:val="23"/>
              <w:rPr>
                <w:rFonts w:ascii="Times New Roman" w:hAnsi="Times New Roman"/>
                <w:sz w:val="24"/>
                <w:szCs w:val="24"/>
              </w:rPr>
            </w:pPr>
            <w:r>
              <w:rPr>
                <w:rFonts w:ascii="Times New Roman" w:hAnsi="宋体"/>
                <w:sz w:val="24"/>
                <w:szCs w:val="24"/>
              </w:rPr>
              <w:t>根据上述每个评审因素的合理性、可行性进行横向比较，每个评审因素得</w:t>
            </w:r>
            <w:r>
              <w:rPr>
                <w:rFonts w:ascii="Times New Roman" w:hAnsi="Times New Roman"/>
                <w:sz w:val="24"/>
                <w:szCs w:val="24"/>
              </w:rPr>
              <w:t>0-2</w:t>
            </w:r>
            <w:r>
              <w:rPr>
                <w:rFonts w:ascii="Times New Roman" w:hAnsi="宋体"/>
                <w:sz w:val="24"/>
                <w:szCs w:val="24"/>
              </w:rPr>
              <w:t>分，最高</w:t>
            </w:r>
            <w:r>
              <w:rPr>
                <w:rFonts w:ascii="Times New Roman" w:hAnsi="Times New Roman"/>
                <w:sz w:val="24"/>
                <w:szCs w:val="24"/>
              </w:rPr>
              <w:t>8</w:t>
            </w:r>
            <w:r>
              <w:rPr>
                <w:rFonts w:ascii="Times New Roman" w:hAnsi="宋体"/>
                <w:sz w:val="24"/>
                <w:szCs w:val="24"/>
              </w:rPr>
              <w:t>分。</w:t>
            </w:r>
          </w:p>
        </w:tc>
        <w:tc>
          <w:tcPr>
            <w:tcW w:w="1337" w:type="dxa"/>
            <w:noWrap w:val="0"/>
            <w:vAlign w:val="center"/>
          </w:tcPr>
          <w:p>
            <w:pPr>
              <w:pStyle w:val="23"/>
              <w:jc w:val="center"/>
              <w:rPr>
                <w:rFonts w:ascii="Times New Roman" w:hAnsi="Times New Roman"/>
                <w:kern w:val="0"/>
                <w:sz w:val="24"/>
                <w:szCs w:val="24"/>
              </w:rPr>
            </w:pPr>
            <w:r>
              <w:rPr>
                <w:rFonts w:ascii="Times New Roman" w:hAnsi="Times New Roman"/>
                <w:sz w:val="24"/>
                <w:szCs w:val="24"/>
              </w:rPr>
              <w:t>8</w:t>
            </w:r>
          </w:p>
        </w:tc>
      </w:tr>
    </w:tbl>
    <w:p>
      <w:pPr>
        <w:pStyle w:val="23"/>
        <w:rPr>
          <w:rFonts w:hint="eastAsia" w:ascii="宋体" w:hAnsi="宋体" w:cs="宋体"/>
          <w:b/>
          <w:sz w:val="24"/>
          <w:szCs w:val="24"/>
        </w:rPr>
      </w:pPr>
      <w:r>
        <w:rPr>
          <w:rFonts w:hint="eastAsia" w:ascii="宋体" w:hAnsi="宋体" w:cs="宋体"/>
          <w:b/>
          <w:sz w:val="24"/>
          <w:szCs w:val="24"/>
        </w:rPr>
        <w:t>第三部分：价格评审</w:t>
      </w:r>
    </w:p>
    <w:tbl>
      <w:tblPr>
        <w:tblStyle w:val="32"/>
        <w:tblW w:w="92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15"/>
        <w:gridCol w:w="67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2515"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评审项目</w:t>
            </w:r>
          </w:p>
        </w:tc>
        <w:tc>
          <w:tcPr>
            <w:tcW w:w="6715" w:type="dxa"/>
            <w:noWrap w:val="0"/>
            <w:vAlign w:val="center"/>
          </w:tcPr>
          <w:p>
            <w:pPr>
              <w:autoSpaceDE w:val="0"/>
              <w:autoSpaceDN w:val="0"/>
              <w:adjustRightInd w:val="0"/>
              <w:jc w:val="center"/>
              <w:rPr>
                <w:rFonts w:ascii="Times New Roman" w:hAnsi="Times New Roman"/>
                <w:b/>
                <w:bCs/>
                <w:sz w:val="24"/>
                <w:szCs w:val="24"/>
                <w:lang w:val="zh-CN"/>
              </w:rPr>
            </w:pPr>
            <w:r>
              <w:rPr>
                <w:rFonts w:ascii="Times New Roman" w:hAnsi="宋体"/>
                <w:b/>
                <w:bCs/>
                <w:sz w:val="24"/>
                <w:szCs w:val="24"/>
                <w:lang w:val="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515" w:type="dxa"/>
            <w:noWrap w:val="0"/>
            <w:vAlign w:val="center"/>
          </w:tcPr>
          <w:p>
            <w:pPr>
              <w:autoSpaceDE w:val="0"/>
              <w:autoSpaceDN w:val="0"/>
              <w:adjustRightInd w:val="0"/>
              <w:jc w:val="center"/>
              <w:rPr>
                <w:rFonts w:ascii="Times New Roman" w:hAnsi="Times New Roman"/>
                <w:sz w:val="24"/>
                <w:szCs w:val="24"/>
                <w:lang w:val="zh-CN"/>
              </w:rPr>
            </w:pPr>
            <w:r>
              <w:rPr>
                <w:rFonts w:ascii="Times New Roman" w:hAnsi="宋体"/>
                <w:sz w:val="24"/>
                <w:szCs w:val="24"/>
                <w:lang w:val="zh-CN"/>
              </w:rPr>
              <w:t>报价</w:t>
            </w:r>
          </w:p>
          <w:p>
            <w:pPr>
              <w:pStyle w:val="23"/>
              <w:ind w:firstLine="120" w:firstLineChars="50"/>
              <w:rPr>
                <w:rFonts w:ascii="Times New Roman" w:hAnsi="Times New Roman"/>
                <w:sz w:val="24"/>
                <w:szCs w:val="24"/>
                <w:lang w:val="zh-CN"/>
              </w:rPr>
            </w:pPr>
            <w:r>
              <w:rPr>
                <w:rFonts w:ascii="Times New Roman" w:hAnsi="宋体"/>
                <w:sz w:val="24"/>
                <w:szCs w:val="24"/>
                <w:lang w:val="zh-CN"/>
              </w:rPr>
              <w:t>（满分</w:t>
            </w:r>
            <w:r>
              <w:rPr>
                <w:rFonts w:ascii="Times New Roman" w:hAnsi="Times New Roman"/>
                <w:sz w:val="24"/>
                <w:szCs w:val="24"/>
              </w:rPr>
              <w:t>15</w:t>
            </w:r>
            <w:r>
              <w:rPr>
                <w:rFonts w:ascii="Times New Roman" w:hAnsi="宋体"/>
                <w:sz w:val="24"/>
                <w:szCs w:val="24"/>
                <w:lang w:val="zh-CN"/>
              </w:rPr>
              <w:t>分）</w:t>
            </w:r>
          </w:p>
        </w:tc>
        <w:tc>
          <w:tcPr>
            <w:tcW w:w="6715" w:type="dxa"/>
            <w:noWrap w:val="0"/>
            <w:vAlign w:val="center"/>
          </w:tcPr>
          <w:p>
            <w:pPr>
              <w:autoSpaceDE w:val="0"/>
              <w:autoSpaceDN w:val="0"/>
              <w:adjustRightInd w:val="0"/>
              <w:rPr>
                <w:rFonts w:ascii="Times New Roman" w:hAnsi="Times New Roman"/>
                <w:sz w:val="24"/>
                <w:szCs w:val="24"/>
                <w:lang w:val="zh-CN"/>
              </w:rPr>
            </w:pPr>
            <w:r>
              <w:rPr>
                <w:rFonts w:ascii="Times New Roman" w:hAnsi="宋体"/>
                <w:sz w:val="24"/>
                <w:szCs w:val="24"/>
                <w:lang w:val="zh-CN"/>
              </w:rPr>
              <w:t>评</w:t>
            </w:r>
            <w:r>
              <w:rPr>
                <w:rFonts w:ascii="Times New Roman" w:hAnsi="宋体"/>
                <w:sz w:val="24"/>
                <w:szCs w:val="24"/>
              </w:rPr>
              <w:t>审</w:t>
            </w:r>
            <w:r>
              <w:rPr>
                <w:rFonts w:ascii="Times New Roman" w:hAnsi="宋体"/>
                <w:sz w:val="24"/>
                <w:szCs w:val="24"/>
                <w:lang w:val="zh-CN"/>
              </w:rPr>
              <w:t>基准价即满足采购文件要求且报价最低的报价。</w:t>
            </w:r>
          </w:p>
          <w:p>
            <w:pPr>
              <w:autoSpaceDE w:val="0"/>
              <w:autoSpaceDN w:val="0"/>
              <w:adjustRightInd w:val="0"/>
              <w:rPr>
                <w:rFonts w:ascii="Times New Roman" w:hAnsi="Times New Roman"/>
                <w:sz w:val="24"/>
                <w:szCs w:val="24"/>
              </w:rPr>
            </w:pPr>
            <w:r>
              <w:rPr>
                <w:rFonts w:ascii="Times New Roman" w:hAnsi="宋体"/>
                <w:sz w:val="24"/>
                <w:szCs w:val="24"/>
                <w:lang w:val="zh-CN"/>
              </w:rPr>
              <w:t>报价得分=（评审基准价/报价）×15</w:t>
            </w:r>
          </w:p>
        </w:tc>
      </w:tr>
    </w:tbl>
    <w:p>
      <w:pPr>
        <w:pStyle w:val="61"/>
        <w:snapToGrid w:val="0"/>
        <w:spacing w:line="480" w:lineRule="exact"/>
        <w:rPr>
          <w:rFonts w:hint="eastAsia" w:ascii="宋体" w:hAnsi="宋体" w:eastAsia="宋体" w:cs="宋体"/>
        </w:rPr>
      </w:pPr>
      <w:r>
        <w:rPr>
          <w:rFonts w:hint="eastAsia" w:ascii="宋体" w:hAnsi="宋体" w:eastAsia="宋体" w:cs="宋体"/>
          <w:b/>
          <w:bCs/>
        </w:rPr>
        <w:br w:type="page"/>
      </w:r>
    </w:p>
    <w:p>
      <w:pPr>
        <w:pStyle w:val="5"/>
        <w:rPr>
          <w:rFonts w:hint="eastAsia" w:ascii="宋体" w:hAnsi="宋体" w:eastAsia="宋体" w:cs="宋体"/>
        </w:rPr>
      </w:pPr>
      <w:bookmarkStart w:id="84" w:name="_Toc28657"/>
      <w:r>
        <w:rPr>
          <w:rFonts w:hint="eastAsia" w:ascii="宋体" w:hAnsi="宋体" w:eastAsia="宋体" w:cs="宋体"/>
        </w:rPr>
        <w:t>第七部分  合同草案（可修改）</w:t>
      </w:r>
      <w:bookmarkEnd w:id="84"/>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       方：</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       方：</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供方在****组织的****项目竞争性磋商采购中成交，经双方协商一致，签订本合同。</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一、货物</w:t>
      </w:r>
      <w:r>
        <w:rPr>
          <w:rFonts w:hint="eastAsia" w:ascii="宋体" w:hAnsi="宋体" w:eastAsia="宋体" w:cs="宋体"/>
          <w:b/>
          <w:sz w:val="24"/>
          <w:szCs w:val="24"/>
          <w:lang w:val="en-US" w:eastAsia="zh-CN"/>
        </w:rPr>
        <w:t>/服务</w:t>
      </w:r>
      <w:r>
        <w:rPr>
          <w:rFonts w:hint="eastAsia" w:ascii="宋体" w:hAnsi="宋体" w:eastAsia="宋体" w:cs="宋体"/>
          <w:b/>
          <w:sz w:val="24"/>
          <w:szCs w:val="24"/>
        </w:rPr>
        <w:t>条款</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供方向需方提供以下服务：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二、合同总金额:</w:t>
      </w:r>
    </w:p>
    <w:p>
      <w:pPr>
        <w:spacing w:line="5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人民币</w:t>
      </w:r>
      <w:r>
        <w:rPr>
          <w:rFonts w:hint="eastAsia" w:ascii="宋体" w:hAnsi="宋体" w:eastAsia="宋体" w:cs="宋体"/>
          <w:sz w:val="24"/>
          <w:szCs w:val="24"/>
        </w:rPr>
        <w:t>（大写）：</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（小写）：￥</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总金额包含包装、仓储、运输、装卸、安装调试、税费、保险费、供方应当提供的伴随服务/售后服务费用以及验收合格之前与质保期内备品备件发生的所有费用。此价格为合同执行不变价，不因国家政策变化而变化。</w:t>
      </w:r>
    </w:p>
    <w:p>
      <w:pPr>
        <w:spacing w:line="500" w:lineRule="exact"/>
        <w:ind w:firstLine="482" w:firstLineChars="200"/>
        <w:rPr>
          <w:rFonts w:hint="eastAsia" w:ascii="宋体" w:hAnsi="宋体" w:eastAsia="宋体" w:cs="宋体"/>
          <w:b/>
          <w:sz w:val="24"/>
          <w:szCs w:val="24"/>
        </w:rPr>
      </w:pPr>
      <w:bookmarkStart w:id="85" w:name="bookmark1"/>
      <w:r>
        <w:rPr>
          <w:rFonts w:hint="eastAsia" w:ascii="宋体" w:hAnsi="宋体" w:eastAsia="宋体" w:cs="宋体"/>
          <w:b/>
          <w:sz w:val="24"/>
          <w:szCs w:val="24"/>
        </w:rPr>
        <w:t>三</w:t>
      </w:r>
      <w:bookmarkEnd w:id="85"/>
      <w:r>
        <w:rPr>
          <w:rFonts w:hint="eastAsia" w:ascii="宋体" w:hAnsi="宋体" w:eastAsia="宋体" w:cs="宋体"/>
          <w:b/>
          <w:sz w:val="24"/>
          <w:szCs w:val="24"/>
        </w:rPr>
        <w:t>、合同资金支付</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资金支付方式：</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资金支付条件及时间：验收合格后由需方负责办理货款支付手续。需方自收到发票后30日内，按合同规定将款项支付到约定的供应商账户。</w:t>
      </w:r>
    </w:p>
    <w:p>
      <w:pPr>
        <w:spacing w:line="500" w:lineRule="exact"/>
        <w:ind w:firstLine="482" w:firstLineChars="200"/>
        <w:rPr>
          <w:rFonts w:hint="eastAsia" w:ascii="宋体" w:hAnsi="宋体" w:eastAsia="宋体" w:cs="宋体"/>
          <w:b/>
          <w:sz w:val="24"/>
          <w:szCs w:val="24"/>
        </w:rPr>
      </w:pPr>
      <w:bookmarkStart w:id="86" w:name="bookmark2"/>
      <w:r>
        <w:rPr>
          <w:rFonts w:hint="eastAsia" w:ascii="宋体" w:hAnsi="宋体" w:eastAsia="宋体" w:cs="宋体"/>
          <w:b/>
          <w:sz w:val="24"/>
          <w:szCs w:val="24"/>
        </w:rPr>
        <w:t>四</w:t>
      </w:r>
      <w:bookmarkEnd w:id="86"/>
      <w:r>
        <w:rPr>
          <w:rFonts w:hint="eastAsia" w:ascii="宋体" w:hAnsi="宋体" w:eastAsia="宋体" w:cs="宋体"/>
          <w:b/>
          <w:sz w:val="24"/>
          <w:szCs w:val="24"/>
        </w:rPr>
        <w:t>、履约保证金缴纳方式及退还</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履约保证金缴纳方式：</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签订合同后5个工作日内（或收到成交通知书后5个工作日内），以支票、汇票、本票或者金融机构、担保机构出具的保函等非现金形式向采购人提交合同额</w:t>
      </w:r>
      <w:r>
        <w:rPr>
          <w:rFonts w:hint="eastAsia" w:ascii="宋体" w:hAnsi="宋体" w:eastAsia="宋体" w:cs="宋体"/>
          <w:sz w:val="24"/>
          <w:szCs w:val="24"/>
          <w:u w:val="single"/>
        </w:rPr>
        <w:t xml:space="preserve">      </w:t>
      </w:r>
      <w:r>
        <w:rPr>
          <w:rFonts w:hint="eastAsia" w:ascii="宋体" w:hAnsi="宋体" w:eastAsia="宋体" w:cs="宋体"/>
          <w:sz w:val="24"/>
          <w:szCs w:val="24"/>
        </w:rPr>
        <w:t>%的履行保证金。</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履约保证金退还的方式 ：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履约保证金退还的条件及时间：供方按合同规定履行完毕供方责任，供方缴纳的履约保证金</w:t>
      </w:r>
      <w:r>
        <w:rPr>
          <w:rFonts w:hint="eastAsia" w:ascii="宋体" w:hAnsi="宋体" w:eastAsia="宋体" w:cs="宋体"/>
          <w:sz w:val="24"/>
          <w:szCs w:val="24"/>
          <w:u w:val="single"/>
        </w:rPr>
        <w:t xml:space="preserve">      </w:t>
      </w:r>
      <w:r>
        <w:rPr>
          <w:rFonts w:hint="eastAsia" w:ascii="宋体" w:hAnsi="宋体" w:eastAsia="宋体" w:cs="宋体"/>
          <w:sz w:val="24"/>
          <w:szCs w:val="24"/>
        </w:rPr>
        <w:t>月后</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个工作日内需方无息退还。</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五、售后服务及承诺</w:t>
      </w:r>
    </w:p>
    <w:p>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供方向需方承诺：</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六、交货</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1、交货期限：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2、交货地点： </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七、交验</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1、验收由需方组织进行，必要时可邀请国家认可的质量检测机构参加验收工作，需方验收供方所交的货物后要制作填写“合同履约情况验收报告”。验收结果须供需双方共同确认。</w:t>
      </w:r>
    </w:p>
    <w:p>
      <w:pPr>
        <w:pStyle w:val="61"/>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交货时供方就所报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pPr>
        <w:pStyle w:val="61"/>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3、供方交付产品中的软件应无知识产权纠纷,若出现知识产权纠纷等法律问题，由供方自行承担。</w:t>
      </w:r>
    </w:p>
    <w:p>
      <w:pPr>
        <w:pStyle w:val="61"/>
        <w:snapToGrid w:val="0"/>
        <w:spacing w:line="5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4、需方要按照磋商文件中的验收标准来进行验收，按照与履约验收挂钩的资金支付条件及时间执行。</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八、需方责任</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1、及时办理付款手续。不得以机构变动、人员更替、政策调整等为由延迟付款，不得将采购文件和合同中未规定的义务作为向供应商付款的条件。</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2、负责提供工作场地，协助供方办理有关事宜。</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3、对合同条款及价格负有保密义务。</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九、供方责任</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1、保证所供货物均为标书承诺的，符合相关质量检测标准，具有该产品的出厂标准或国家鉴定证书。</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2、保证售后服务，严格依据响应文件及相关承诺，进行保修、维护等服务。</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十、违约责任</w:t>
      </w:r>
    </w:p>
    <w:p>
      <w:pPr>
        <w:spacing w:line="500" w:lineRule="exact"/>
        <w:ind w:firstLine="480" w:firstLineChars="200"/>
        <w:rPr>
          <w:rFonts w:hint="eastAsia" w:ascii="宋体" w:hAnsi="宋体" w:eastAsia="宋体" w:cs="宋体"/>
          <w:sz w:val="24"/>
          <w:szCs w:val="24"/>
        </w:rPr>
      </w:pPr>
      <w:bookmarkStart w:id="87" w:name="bookmark8"/>
      <w:r>
        <w:rPr>
          <w:rFonts w:hint="eastAsia" w:ascii="宋体" w:hAnsi="宋体" w:eastAsia="宋体" w:cs="宋体"/>
          <w:sz w:val="24"/>
          <w:szCs w:val="24"/>
        </w:rPr>
        <w:t>1</w:t>
      </w:r>
      <w:bookmarkEnd w:id="87"/>
      <w:r>
        <w:rPr>
          <w:rFonts w:hint="eastAsia" w:ascii="宋体" w:hAnsi="宋体" w:eastAsia="宋体" w:cs="宋体"/>
          <w:sz w:val="24"/>
          <w:szCs w:val="24"/>
        </w:rPr>
        <w:t xml:space="preserve">、需方无正当理由逾期支付货款的，每逾期一日向供方偿付合同款总额 </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%的违约金，逾期付款超过</w:t>
      </w:r>
      <w:r>
        <w:rPr>
          <w:rFonts w:hint="eastAsia" w:ascii="宋体" w:hAnsi="宋体" w:eastAsia="宋体" w:cs="宋体"/>
          <w:sz w:val="24"/>
          <w:szCs w:val="24"/>
          <w:u w:val="single"/>
        </w:rPr>
        <w:t xml:space="preserve">     </w:t>
      </w:r>
      <w:r>
        <w:rPr>
          <w:rFonts w:hint="eastAsia" w:ascii="宋体" w:hAnsi="宋体" w:eastAsia="宋体" w:cs="宋体"/>
          <w:sz w:val="24"/>
          <w:szCs w:val="24"/>
        </w:rPr>
        <w:t>日，供方有权解除合同，届时需方向供方退还已收到的货物及履约保证金，并赔偿由此给供方造成的全部经济损失。</w:t>
      </w:r>
    </w:p>
    <w:p>
      <w:pPr>
        <w:spacing w:line="500" w:lineRule="exact"/>
        <w:ind w:firstLine="480" w:firstLineChars="200"/>
        <w:rPr>
          <w:rFonts w:hint="eastAsia" w:ascii="宋体" w:hAnsi="宋体" w:eastAsia="宋体" w:cs="宋体"/>
          <w:sz w:val="24"/>
          <w:szCs w:val="24"/>
        </w:rPr>
      </w:pPr>
      <w:bookmarkStart w:id="88" w:name="bookmark9"/>
      <w:r>
        <w:rPr>
          <w:rFonts w:hint="eastAsia" w:ascii="宋体" w:hAnsi="宋体" w:eastAsia="宋体" w:cs="宋体"/>
          <w:sz w:val="24"/>
          <w:szCs w:val="24"/>
        </w:rPr>
        <w:t>2</w:t>
      </w:r>
      <w:bookmarkEnd w:id="88"/>
      <w:r>
        <w:rPr>
          <w:rFonts w:hint="eastAsia" w:ascii="宋体" w:hAnsi="宋体" w:eastAsia="宋体" w:cs="宋体"/>
          <w:sz w:val="24"/>
          <w:szCs w:val="24"/>
        </w:rPr>
        <w:t>、供方所交的货物品种、型号、规格、质量不符合合同规定标准，需方有权拒收。同时，供方向需方支付合同款总额</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w:t>
      </w:r>
    </w:p>
    <w:p>
      <w:pPr>
        <w:spacing w:line="500" w:lineRule="exact"/>
        <w:ind w:firstLine="480" w:firstLineChars="200"/>
        <w:rPr>
          <w:rFonts w:hint="eastAsia" w:ascii="宋体" w:hAnsi="宋体" w:eastAsia="宋体" w:cs="宋体"/>
          <w:sz w:val="24"/>
          <w:szCs w:val="24"/>
        </w:rPr>
      </w:pPr>
      <w:bookmarkStart w:id="89" w:name="bookmark10"/>
      <w:r>
        <w:rPr>
          <w:rFonts w:hint="eastAsia" w:ascii="宋体" w:hAnsi="宋体" w:eastAsia="宋体" w:cs="宋体"/>
          <w:sz w:val="24"/>
          <w:szCs w:val="24"/>
        </w:rPr>
        <w:t>3</w:t>
      </w:r>
      <w:bookmarkEnd w:id="89"/>
      <w:r>
        <w:rPr>
          <w:rFonts w:hint="eastAsia" w:ascii="宋体" w:hAnsi="宋体" w:eastAsia="宋体" w:cs="宋体"/>
          <w:sz w:val="24"/>
          <w:szCs w:val="24"/>
        </w:rPr>
        <w:t>、供方不能交付货物时，供方向需方偿付合同款总额</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w:t>
      </w:r>
    </w:p>
    <w:p>
      <w:pPr>
        <w:spacing w:line="500" w:lineRule="exact"/>
        <w:ind w:firstLine="480" w:firstLineChars="200"/>
        <w:rPr>
          <w:rFonts w:hint="eastAsia" w:ascii="宋体" w:hAnsi="宋体" w:eastAsia="宋体" w:cs="宋体"/>
          <w:sz w:val="24"/>
          <w:szCs w:val="24"/>
        </w:rPr>
      </w:pPr>
      <w:bookmarkStart w:id="90" w:name="bookmark11"/>
      <w:r>
        <w:rPr>
          <w:rFonts w:hint="eastAsia" w:ascii="宋体" w:hAnsi="宋体" w:eastAsia="宋体" w:cs="宋体"/>
          <w:sz w:val="24"/>
          <w:szCs w:val="24"/>
        </w:rPr>
        <w:t>4</w:t>
      </w:r>
      <w:bookmarkEnd w:id="90"/>
      <w:r>
        <w:rPr>
          <w:rFonts w:hint="eastAsia" w:ascii="宋体" w:hAnsi="宋体" w:eastAsia="宋体" w:cs="宋体"/>
          <w:sz w:val="24"/>
          <w:szCs w:val="24"/>
        </w:rPr>
        <w:t>、供方逾期交付货物时，每逾1日供方向需方偿付合同款总额</w:t>
      </w:r>
      <w:r>
        <w:rPr>
          <w:rFonts w:hint="eastAsia" w:ascii="宋体" w:hAnsi="宋体" w:eastAsia="宋体" w:cs="宋体"/>
          <w:sz w:val="24"/>
          <w:szCs w:val="24"/>
          <w:u w:val="single"/>
        </w:rPr>
        <w:t xml:space="preserve">        </w:t>
      </w:r>
      <w:r>
        <w:rPr>
          <w:rFonts w:hint="eastAsia" w:ascii="宋体" w:hAnsi="宋体" w:eastAsia="宋体" w:cs="宋体"/>
          <w:sz w:val="24"/>
          <w:szCs w:val="24"/>
        </w:rPr>
        <w:t>的滞纳金。逾期交货超过 30天后，需方有权决定是否继续履行合同。</w:t>
      </w:r>
    </w:p>
    <w:p>
      <w:pPr>
        <w:spacing w:line="500" w:lineRule="exact"/>
        <w:ind w:firstLine="480" w:firstLineChars="200"/>
        <w:rPr>
          <w:rFonts w:hint="eastAsia" w:ascii="宋体" w:hAnsi="宋体" w:eastAsia="宋体" w:cs="宋体"/>
          <w:sz w:val="24"/>
          <w:szCs w:val="24"/>
        </w:rPr>
      </w:pPr>
      <w:bookmarkStart w:id="91" w:name="bookmark12"/>
      <w:r>
        <w:rPr>
          <w:rFonts w:hint="eastAsia" w:ascii="宋体" w:hAnsi="宋体" w:eastAsia="宋体" w:cs="宋体"/>
          <w:sz w:val="24"/>
          <w:szCs w:val="24"/>
        </w:rPr>
        <w:t>5</w:t>
      </w:r>
      <w:bookmarkEnd w:id="91"/>
      <w:r>
        <w:rPr>
          <w:rFonts w:hint="eastAsia" w:ascii="宋体" w:hAnsi="宋体" w:eastAsia="宋体" w:cs="宋体"/>
          <w:sz w:val="24"/>
          <w:szCs w:val="24"/>
        </w:rPr>
        <w:t>、供方在履约中，未履行供方责任的，履约保证金不予退还。</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6、供方在履约中，未完全履行供方责任的，需方可按</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扣除履约保证金。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7、因需方错告或变更到货地点而绐供方造成的损失，由需方负担。</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8、因需方原因导致合同变更、中止或者终止政府釆购合同的，需方应当对供方受到的损失予以赔偿或者补供，贴偿或者补偿金额：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9、符合履约保证金退还的条件及时间，需方逾期退还履约保证金的，每逾1日需方向供方偿付履约保证金总额</w:t>
      </w:r>
      <w:r>
        <w:rPr>
          <w:rFonts w:hint="eastAsia" w:ascii="宋体" w:hAnsi="宋体" w:eastAsia="宋体" w:cs="宋体"/>
          <w:sz w:val="24"/>
          <w:szCs w:val="24"/>
          <w:u w:val="single"/>
        </w:rPr>
        <w:t xml:space="preserve">        </w:t>
      </w:r>
      <w:r>
        <w:rPr>
          <w:rFonts w:hint="eastAsia" w:ascii="宋体" w:hAnsi="宋体" w:eastAsia="宋体" w:cs="宋体"/>
          <w:sz w:val="24"/>
          <w:szCs w:val="24"/>
        </w:rPr>
        <w:t>的滞纳金。</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十一、不可抗力</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十二、争议解决</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供需双方在执行合同中发生争议，应通过协商解决。如协商不成，双方均可向需方住所地有管辖权的人民法院提起诉讼。</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十三、合同生效及其他</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1、合同由供、需双方法定代表人或授权代表签字并加盖公章或合同专用章之日起生效。</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3、合同执行过程中出现的未尽事宜，双方在不违背合同和磋商文件的前提下协商解决。协商结果以“纪要”形式供需双方签字盖章确认，作为合同附件，与合同具有同等效力。</w:t>
      </w:r>
    </w:p>
    <w:p>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十四、下列文件为本合同不可分割部分</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1、磋商文件（含澄清或修改文件）</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2、响应文件（含澄清或说明文件）</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3、磋商供应商所做的其他承诺</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4、项目验收标准、程序</w:t>
      </w:r>
    </w:p>
    <w:p>
      <w:pPr>
        <w:spacing w:line="500" w:lineRule="exact"/>
        <w:ind w:firstLine="482" w:firstLineChars="200"/>
        <w:rPr>
          <w:rFonts w:hint="eastAsia" w:ascii="宋体" w:hAnsi="宋体" w:eastAsia="宋体" w:cs="宋体"/>
          <w:b/>
          <w:bCs/>
          <w:sz w:val="24"/>
          <w:szCs w:val="24"/>
        </w:rPr>
      </w:pPr>
    </w:p>
    <w:p>
      <w:pPr>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需方（章）：                            供方（章）：            </w:t>
      </w:r>
    </w:p>
    <w:p>
      <w:pPr>
        <w:spacing w:line="500" w:lineRule="exact"/>
        <w:ind w:firstLine="480" w:firstLineChars="200"/>
        <w:rPr>
          <w:rFonts w:hint="eastAsia" w:ascii="宋体" w:hAnsi="宋体" w:eastAsia="宋体" w:cs="宋体"/>
          <w:sz w:val="24"/>
          <w:szCs w:val="24"/>
        </w:rPr>
      </w:pP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法定代表人：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委托代理人：                            委托代理人：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地 址：                                    地 址：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 话：                                    电 话：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账 号：                                    账 号                      </w:t>
      </w:r>
    </w:p>
    <w:p>
      <w:pPr>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本合同的签署地：                        </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 期：    年    月    日             </w:t>
      </w:r>
    </w:p>
    <w:p>
      <w:pPr>
        <w:widowControl/>
        <w:jc w:val="left"/>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jc w:val="left"/>
        <w:rPr>
          <w:rFonts w:hint="eastAsia" w:ascii="宋体" w:hAnsi="宋体" w:eastAsia="宋体" w:cs="宋体"/>
        </w:rPr>
      </w:pPr>
      <w:r>
        <w:rPr>
          <w:rFonts w:hint="eastAsia" w:ascii="宋体" w:hAnsi="宋体" w:eastAsia="宋体" w:cs="宋体"/>
        </w:rPr>
        <w:br w:type="page"/>
      </w:r>
    </w:p>
    <w:p>
      <w:pPr>
        <w:pStyle w:val="5"/>
        <w:rPr>
          <w:rFonts w:hint="eastAsia" w:ascii="宋体" w:hAnsi="宋体" w:eastAsia="宋体" w:cs="宋体"/>
        </w:rPr>
      </w:pPr>
      <w:bookmarkStart w:id="92" w:name="_Toc18945"/>
      <w:bookmarkStart w:id="93" w:name="_Toc489536690"/>
      <w:r>
        <w:rPr>
          <w:rFonts w:hint="eastAsia" w:ascii="宋体" w:hAnsi="宋体" w:eastAsia="宋体" w:cs="宋体"/>
        </w:rPr>
        <w:t>第八部分  响应文件内容要求及格式</w:t>
      </w:r>
      <w:bookmarkEnd w:id="92"/>
      <w:bookmarkEnd w:id="93"/>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磋商供应商提交响应文件须知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1、磋商供应商按照本部分的顺序编排响应文件（资格证明文件、商务技术文件），编排中涉及格式资料的，应按照本部分提供的内容和格式（所有表格的格式可扩展）填写提交。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2、全部声明和问题的回答及所附材料必须是真实的、准确的和完整的。</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3、按磋商文件要求“格式”提供的材料，如有调整，内容及签署必须完整、有效，且没有本文件不可接受的条件。</w:t>
      </w:r>
    </w:p>
    <w:p>
      <w:pPr>
        <w:rPr>
          <w:rFonts w:hint="eastAsia" w:ascii="宋体" w:hAnsi="宋体" w:eastAsia="宋体" w:cs="宋体"/>
        </w:rPr>
      </w:pPr>
    </w:p>
    <w:p>
      <w:pPr>
        <w:widowControl/>
        <w:jc w:val="left"/>
        <w:rPr>
          <w:rFonts w:hint="eastAsia" w:ascii="宋体" w:hAnsi="宋体" w:eastAsia="宋体" w:cs="宋体"/>
        </w:rPr>
      </w:pPr>
      <w:r>
        <w:rPr>
          <w:rFonts w:hint="eastAsia" w:ascii="宋体" w:hAnsi="宋体" w:eastAsia="宋体" w:cs="宋体"/>
        </w:rPr>
        <w:br w:type="page"/>
      </w:r>
    </w:p>
    <w:p>
      <w:pPr>
        <w:pStyle w:val="3"/>
        <w:snapToGrid w:val="0"/>
        <w:spacing w:line="276" w:lineRule="auto"/>
        <w:ind w:firstLine="525" w:firstLineChars="250"/>
        <w:rPr>
          <w:rFonts w:hint="eastAsia" w:ascii="宋体" w:hAnsi="宋体" w:eastAsia="宋体" w:cs="宋体"/>
          <w:kern w:val="0"/>
        </w:rPr>
      </w:pPr>
    </w:p>
    <w:p>
      <w:pPr>
        <w:spacing w:line="360" w:lineRule="auto"/>
        <w:rPr>
          <w:rFonts w:hint="eastAsia" w:ascii="宋体" w:hAnsi="宋体" w:eastAsia="宋体" w:cs="宋体"/>
          <w:b/>
          <w:sz w:val="24"/>
        </w:rPr>
      </w:pPr>
      <w:bookmarkStart w:id="94" w:name="_Toc7481_WPSOffice_Level1"/>
      <w:r>
        <w:rPr>
          <w:rFonts w:hint="eastAsia" w:ascii="宋体" w:hAnsi="宋体" w:eastAsia="宋体" w:cs="宋体"/>
          <w:b/>
          <w:spacing w:val="20"/>
          <w:sz w:val="24"/>
        </w:rPr>
        <w:t>响应文件</w:t>
      </w:r>
      <w:r>
        <w:rPr>
          <w:rFonts w:hint="eastAsia" w:ascii="宋体" w:hAnsi="宋体" w:eastAsia="宋体" w:cs="宋体"/>
          <w:b/>
          <w:sz w:val="24"/>
        </w:rPr>
        <w:t>封面及目录格式</w:t>
      </w:r>
      <w:bookmarkEnd w:id="94"/>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4"/>
        <w:widowControl w:val="0"/>
        <w:numPr>
          <w:ilvl w:val="0"/>
          <w:numId w:val="0"/>
        </w:numPr>
        <w:jc w:val="both"/>
        <w:rPr>
          <w:rFonts w:hint="eastAsia" w:ascii="宋体" w:hAnsi="宋体" w:eastAsia="宋体" w:cs="宋体"/>
          <w:kern w:val="0"/>
        </w:rPr>
      </w:pPr>
    </w:p>
    <w:p>
      <w:pPr>
        <w:pStyle w:val="4"/>
        <w:widowControl w:val="0"/>
        <w:numPr>
          <w:ilvl w:val="0"/>
          <w:numId w:val="0"/>
        </w:numPr>
        <w:jc w:val="both"/>
        <w:rPr>
          <w:rFonts w:hint="eastAsia" w:ascii="宋体" w:hAnsi="宋体" w:eastAsia="宋体" w:cs="宋体"/>
          <w:kern w:val="0"/>
        </w:rPr>
      </w:pPr>
    </w:p>
    <w:p>
      <w:pPr>
        <w:pStyle w:val="4"/>
        <w:widowControl w:val="0"/>
        <w:numPr>
          <w:ilvl w:val="0"/>
          <w:numId w:val="0"/>
        </w:numPr>
        <w:jc w:val="both"/>
        <w:rPr>
          <w:rFonts w:hint="eastAsia" w:ascii="宋体" w:hAnsi="宋体" w:eastAsia="宋体" w:cs="宋体"/>
          <w:kern w:val="0"/>
        </w:rPr>
      </w:pPr>
    </w:p>
    <w:p>
      <w:pPr>
        <w:pStyle w:val="4"/>
        <w:widowControl w:val="0"/>
        <w:numPr>
          <w:ilvl w:val="0"/>
          <w:numId w:val="0"/>
        </w:numPr>
        <w:jc w:val="both"/>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jc w:val="center"/>
        <w:rPr>
          <w:rFonts w:hint="eastAsia" w:ascii="宋体" w:hAnsi="宋体" w:eastAsia="宋体" w:cs="宋体"/>
          <w:b/>
          <w:spacing w:val="60"/>
          <w:sz w:val="84"/>
          <w:szCs w:val="84"/>
        </w:rPr>
      </w:pPr>
      <w:bookmarkStart w:id="95" w:name="_Toc16293_WPSOffice_Level2"/>
      <w:r>
        <w:rPr>
          <w:rFonts w:hint="eastAsia" w:ascii="宋体" w:hAnsi="宋体" w:eastAsia="宋体" w:cs="宋体"/>
          <w:b/>
          <w:spacing w:val="60"/>
          <w:sz w:val="84"/>
          <w:szCs w:val="84"/>
        </w:rPr>
        <w:t>响 应 文 件</w:t>
      </w:r>
      <w:bookmarkEnd w:id="95"/>
    </w:p>
    <w:p>
      <w:pPr>
        <w:ind w:firstLine="843" w:firstLineChars="150"/>
        <w:jc w:val="center"/>
        <w:rPr>
          <w:rFonts w:hint="eastAsia" w:ascii="宋体" w:hAnsi="宋体" w:eastAsia="宋体" w:cs="宋体"/>
          <w:b/>
          <w:spacing w:val="20"/>
          <w:sz w:val="52"/>
          <w:szCs w:val="52"/>
        </w:rPr>
      </w:pPr>
      <w:r>
        <w:rPr>
          <w:rFonts w:hint="eastAsia" w:ascii="宋体" w:hAnsi="宋体" w:eastAsia="宋体" w:cs="宋体"/>
          <w:b/>
          <w:spacing w:val="20"/>
          <w:sz w:val="52"/>
          <w:szCs w:val="52"/>
        </w:rPr>
        <w:t>（资格证明文件）</w:t>
      </w:r>
    </w:p>
    <w:p>
      <w:pPr>
        <w:pStyle w:val="3"/>
        <w:snapToGrid w:val="0"/>
        <w:spacing w:line="276" w:lineRule="auto"/>
        <w:ind w:firstLine="525" w:firstLineChars="250"/>
        <w:rPr>
          <w:rFonts w:hint="eastAsia" w:ascii="宋体" w:hAnsi="宋体" w:eastAsia="宋体" w:cs="宋体"/>
          <w:kern w:val="0"/>
        </w:rPr>
      </w:pPr>
    </w:p>
    <w:p>
      <w:pPr>
        <w:ind w:firstLine="903" w:firstLineChars="25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pPr>
        <w:pStyle w:val="3"/>
        <w:snapToGrid w:val="0"/>
        <w:spacing w:line="276" w:lineRule="auto"/>
        <w:ind w:firstLine="903" w:firstLineChars="250"/>
        <w:rPr>
          <w:rFonts w:hint="eastAsia" w:ascii="宋体" w:hAnsi="宋体" w:eastAsia="宋体" w:cs="宋体"/>
          <w:kern w:val="0"/>
          <w:lang w:eastAsia="zh-CN"/>
        </w:rPr>
      </w:pPr>
      <w:r>
        <w:rPr>
          <w:rFonts w:hint="eastAsia" w:ascii="宋体" w:hAnsi="宋体" w:eastAsia="宋体" w:cs="宋体"/>
          <w:b/>
          <w:spacing w:val="20"/>
          <w:sz w:val="32"/>
          <w:szCs w:val="32"/>
          <w:lang w:eastAsia="zh-CN"/>
        </w:rPr>
        <w:t>项目编号：</w:t>
      </w: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spacing w:line="360" w:lineRule="auto"/>
        <w:jc w:val="center"/>
        <w:rPr>
          <w:rFonts w:hint="eastAsia" w:ascii="宋体" w:hAnsi="宋体" w:eastAsia="宋体" w:cs="宋体"/>
          <w:b/>
          <w:spacing w:val="20"/>
          <w:sz w:val="32"/>
          <w:szCs w:val="32"/>
        </w:rPr>
      </w:pPr>
    </w:p>
    <w:p>
      <w:pPr>
        <w:spacing w:line="360" w:lineRule="auto"/>
        <w:jc w:val="center"/>
        <w:rPr>
          <w:rFonts w:hint="eastAsia" w:ascii="宋体" w:hAnsi="宋体" w:eastAsia="宋体" w:cs="宋体"/>
          <w:b/>
          <w:spacing w:val="20"/>
          <w:sz w:val="32"/>
          <w:szCs w:val="32"/>
        </w:rPr>
      </w:pPr>
      <w:r>
        <w:rPr>
          <w:rFonts w:hint="eastAsia" w:ascii="宋体" w:hAnsi="宋体" w:eastAsia="宋体" w:cs="宋体"/>
          <w:b/>
          <w:spacing w:val="20"/>
          <w:sz w:val="32"/>
          <w:szCs w:val="32"/>
        </w:rPr>
        <w:t>磋商供应商单位名称：（电子签章）</w:t>
      </w:r>
    </w:p>
    <w:p>
      <w:pPr>
        <w:jc w:val="center"/>
        <w:rPr>
          <w:rFonts w:hint="eastAsia" w:ascii="宋体" w:hAnsi="宋体" w:eastAsia="宋体" w:cs="宋体"/>
          <w:b/>
          <w:sz w:val="32"/>
          <w:szCs w:val="32"/>
        </w:rPr>
      </w:pPr>
      <w:r>
        <w:rPr>
          <w:rFonts w:hint="eastAsia" w:ascii="宋体" w:hAnsi="宋体" w:eastAsia="宋体" w:cs="宋体"/>
          <w:b/>
          <w:sz w:val="32"/>
          <w:szCs w:val="32"/>
        </w:rPr>
        <w:t>二〇二  年  月   日</w:t>
      </w:r>
    </w:p>
    <w:p>
      <w:pPr>
        <w:pStyle w:val="61"/>
        <w:snapToGrid w:val="0"/>
        <w:spacing w:line="480" w:lineRule="exact"/>
        <w:ind w:firstLine="723" w:firstLineChars="200"/>
        <w:rPr>
          <w:rFonts w:hint="eastAsia" w:ascii="宋体" w:hAnsi="宋体" w:eastAsia="宋体" w:cs="宋体"/>
          <w:b/>
          <w:spacing w:val="20"/>
          <w:sz w:val="32"/>
          <w:szCs w:val="32"/>
        </w:rPr>
      </w:pPr>
      <w:r>
        <w:rPr>
          <w:rFonts w:hint="eastAsia" w:ascii="宋体" w:hAnsi="宋体" w:eastAsia="宋体" w:cs="宋体"/>
          <w:b/>
          <w:spacing w:val="20"/>
          <w:sz w:val="32"/>
          <w:szCs w:val="32"/>
        </w:rPr>
        <w:br w:type="page"/>
      </w: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资  格  证  明  文  件</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目    录</w:t>
      </w:r>
    </w:p>
    <w:p>
      <w:pPr>
        <w:pStyle w:val="27"/>
        <w:widowControl w:val="0"/>
        <w:snapToGrid w:val="0"/>
        <w:spacing w:before="0" w:beforeAutospacing="0" w:after="0" w:afterAutospacing="0" w:line="360" w:lineRule="auto"/>
        <w:jc w:val="both"/>
        <w:rPr>
          <w:rFonts w:hint="eastAsia" w:ascii="宋体" w:hAnsi="宋体" w:eastAsia="宋体" w:cs="宋体"/>
        </w:rPr>
      </w:pPr>
      <w:bookmarkStart w:id="96" w:name="_Toc12339_WPSOffice_Level2"/>
      <w:r>
        <w:rPr>
          <w:rFonts w:hint="eastAsia" w:ascii="宋体" w:hAnsi="宋体" w:eastAsia="宋体" w:cs="宋体"/>
        </w:rPr>
        <w:t>1、响应人代表证明</w:t>
      </w:r>
    </w:p>
    <w:p>
      <w:pPr>
        <w:pStyle w:val="27"/>
        <w:widowControl w:val="0"/>
        <w:snapToGrid w:val="0"/>
        <w:spacing w:before="0" w:beforeAutospacing="0" w:after="0" w:afterAutospacing="0" w:line="360" w:lineRule="auto"/>
        <w:jc w:val="both"/>
        <w:rPr>
          <w:rFonts w:hint="eastAsia" w:ascii="宋体" w:hAnsi="宋体" w:eastAsia="宋体" w:cs="宋体"/>
        </w:rPr>
      </w:pPr>
      <w:r>
        <w:rPr>
          <w:rFonts w:hint="eastAsia" w:ascii="宋体" w:hAnsi="宋体" w:eastAsia="宋体" w:cs="宋体"/>
        </w:rPr>
        <w:t>2、响应函</w:t>
      </w:r>
    </w:p>
    <w:p>
      <w:pPr>
        <w:pStyle w:val="27"/>
        <w:widowControl w:val="0"/>
        <w:snapToGrid w:val="0"/>
        <w:spacing w:before="0" w:beforeAutospacing="0" w:after="0" w:afterAutospacing="0" w:line="360" w:lineRule="auto"/>
        <w:jc w:val="both"/>
        <w:rPr>
          <w:rFonts w:hint="eastAsia" w:ascii="宋体" w:hAnsi="宋体" w:eastAsia="宋体" w:cs="宋体"/>
        </w:rPr>
      </w:pPr>
      <w:r>
        <w:rPr>
          <w:rFonts w:hint="eastAsia" w:ascii="宋体" w:hAnsi="宋体" w:eastAsia="宋体" w:cs="宋体"/>
        </w:rPr>
        <w:t>3、具有独立承担民事责任的能力</w:t>
      </w:r>
    </w:p>
    <w:p>
      <w:pPr>
        <w:pStyle w:val="27"/>
        <w:widowControl w:val="0"/>
        <w:snapToGrid w:val="0"/>
        <w:spacing w:before="0" w:beforeAutospacing="0" w:after="0" w:afterAutospacing="0"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政府采购供应商信用承诺书</w:t>
      </w:r>
    </w:p>
    <w:p>
      <w:pPr>
        <w:spacing w:line="480" w:lineRule="exact"/>
        <w:ind w:firstLine="734" w:firstLineChars="306"/>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具有良好的商业信誉和健全的财务会计制度</w:t>
      </w:r>
    </w:p>
    <w:p>
      <w:pPr>
        <w:spacing w:line="480" w:lineRule="exact"/>
        <w:ind w:firstLine="734" w:firstLineChars="306"/>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具有依法缴纳税收和社会保障资金的良好记录</w:t>
      </w:r>
    </w:p>
    <w:p>
      <w:pPr>
        <w:spacing w:line="480" w:lineRule="exact"/>
        <w:ind w:firstLine="734" w:firstLineChars="306"/>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具有履行合同所必需的设备和专业技术能力</w:t>
      </w:r>
    </w:p>
    <w:p>
      <w:pPr>
        <w:pStyle w:val="27"/>
        <w:widowControl w:val="0"/>
        <w:snapToGrid w:val="0"/>
        <w:spacing w:before="0" w:beforeAutospacing="0" w:after="0" w:afterAutospacing="0" w:line="360" w:lineRule="auto"/>
        <w:ind w:firstLine="720" w:firstLineChars="300"/>
        <w:jc w:val="both"/>
        <w:rPr>
          <w:rFonts w:hint="eastAsia" w:ascii="宋体" w:hAnsi="宋体" w:eastAsia="宋体" w:cs="宋体"/>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参加政府采购活动前三年内，在经营活动中没有重大违法记录</w:t>
      </w:r>
    </w:p>
    <w:p>
      <w:pPr>
        <w:pStyle w:val="27"/>
        <w:widowControl w:val="0"/>
        <w:snapToGrid w:val="0"/>
        <w:spacing w:before="0" w:beforeAutospacing="0" w:after="0" w:afterAutospacing="0" w:line="360" w:lineRule="auto"/>
        <w:jc w:val="both"/>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、响应保证金的交纳证明复印件及基本存款账户开户许可证扫描件（已取消企业银行账户许可的提供银行证明或提供取消企业银行账户许可的相关公告）</w:t>
      </w:r>
    </w:p>
    <w:p>
      <w:pPr>
        <w:pStyle w:val="27"/>
        <w:widowControl w:val="0"/>
        <w:snapToGrid w:val="0"/>
        <w:spacing w:before="0" w:beforeAutospacing="0" w:after="0" w:afterAutospacing="0" w:line="360" w:lineRule="auto"/>
        <w:jc w:val="both"/>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、联合体磋商协议（若有的话）</w:t>
      </w:r>
    </w:p>
    <w:p>
      <w:pPr>
        <w:pStyle w:val="27"/>
        <w:widowControl w:val="0"/>
        <w:snapToGrid w:val="0"/>
        <w:spacing w:before="0" w:beforeAutospacing="0" w:after="0" w:afterAutospacing="0" w:line="360" w:lineRule="auto"/>
        <w:jc w:val="both"/>
        <w:rPr>
          <w:rFonts w:hint="eastAsia" w:ascii="宋体" w:hAnsi="宋体" w:eastAsia="宋体" w:cs="宋体"/>
          <w:lang w:eastAsia="zh-CN"/>
        </w:rPr>
      </w:pP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eastAsia="zh-CN"/>
        </w:rPr>
        <w:t>本项目落实政府采购政策的资格条件</w:t>
      </w:r>
    </w:p>
    <w:p>
      <w:pPr>
        <w:pStyle w:val="27"/>
        <w:widowControl w:val="0"/>
        <w:snapToGrid w:val="0"/>
        <w:spacing w:before="0" w:beforeAutospacing="0" w:after="0" w:afterAutospacing="0" w:line="360" w:lineRule="auto"/>
        <w:jc w:val="both"/>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本项目要求的其他特定资格条件</w:t>
      </w:r>
    </w:p>
    <w:p>
      <w:pPr>
        <w:pStyle w:val="27"/>
        <w:widowControl w:val="0"/>
        <w:snapToGrid w:val="0"/>
        <w:spacing w:before="0" w:beforeAutospacing="0" w:after="0" w:afterAutospacing="0" w:line="360" w:lineRule="auto"/>
        <w:jc w:val="both"/>
        <w:rPr>
          <w:rFonts w:hint="eastAsia" w:ascii="宋体" w:hAnsi="宋体" w:eastAsia="宋体" w:cs="宋体"/>
          <w:lang w:val="en-US" w:eastAsia="zh-CN"/>
        </w:rPr>
      </w:pPr>
    </w:p>
    <w:bookmarkEnd w:id="96"/>
    <w:p>
      <w:pPr>
        <w:pStyle w:val="3"/>
        <w:snapToGrid w:val="0"/>
        <w:spacing w:line="360" w:lineRule="auto"/>
        <w:rPr>
          <w:rFonts w:hint="eastAsia" w:ascii="宋体" w:hAnsi="宋体" w:eastAsia="宋体" w:cs="宋体"/>
          <w:sz w:val="24"/>
          <w:szCs w:val="24"/>
        </w:rPr>
      </w:pPr>
    </w:p>
    <w:p>
      <w:pPr>
        <w:pStyle w:val="3"/>
        <w:snapToGrid w:val="0"/>
        <w:spacing w:line="480" w:lineRule="auto"/>
        <w:rPr>
          <w:rFonts w:hint="eastAsia" w:ascii="宋体" w:hAnsi="宋体" w:eastAsia="宋体" w:cs="宋体"/>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pStyle w:val="3"/>
        <w:snapToGrid w:val="0"/>
        <w:spacing w:line="276" w:lineRule="auto"/>
        <w:ind w:firstLine="525" w:firstLineChars="250"/>
        <w:rPr>
          <w:rFonts w:hint="eastAsia" w:ascii="宋体" w:hAnsi="宋体" w:eastAsia="宋体" w:cs="宋体"/>
          <w:kern w:val="0"/>
        </w:rPr>
      </w:pPr>
    </w:p>
    <w:p>
      <w:pPr>
        <w:snapToGrid w:val="0"/>
        <w:ind w:left="441" w:hanging="422" w:hangingChars="200"/>
        <w:rPr>
          <w:rFonts w:hint="eastAsia" w:ascii="宋体" w:hAnsi="宋体" w:eastAsia="宋体" w:cs="宋体"/>
          <w:b/>
          <w:szCs w:val="21"/>
        </w:rPr>
      </w:pPr>
    </w:p>
    <w:p>
      <w:pPr>
        <w:snapToGrid w:val="0"/>
        <w:ind w:left="441" w:hanging="422" w:hangingChars="200"/>
        <w:rPr>
          <w:rFonts w:hint="eastAsia" w:ascii="宋体" w:hAnsi="宋体" w:eastAsia="宋体" w:cs="宋体"/>
          <w:b/>
          <w:szCs w:val="21"/>
        </w:rPr>
      </w:pPr>
    </w:p>
    <w:p>
      <w:pPr>
        <w:widowControl/>
        <w:jc w:val="left"/>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ind w:left="378" w:hanging="361" w:hangingChars="150"/>
        <w:jc w:val="left"/>
        <w:rPr>
          <w:rFonts w:hint="eastAsia" w:ascii="宋体" w:hAnsi="宋体" w:eastAsia="宋体" w:cs="宋体"/>
          <w:b/>
          <w:sz w:val="24"/>
          <w:szCs w:val="24"/>
        </w:rPr>
      </w:pPr>
      <w:r>
        <w:rPr>
          <w:rFonts w:hint="eastAsia" w:ascii="宋体" w:hAnsi="宋体" w:eastAsia="宋体" w:cs="宋体"/>
          <w:b/>
          <w:sz w:val="24"/>
          <w:szCs w:val="24"/>
        </w:rPr>
        <w:t>（一）磋商供应商代表证明</w:t>
      </w:r>
    </w:p>
    <w:p>
      <w:pPr>
        <w:spacing w:line="360" w:lineRule="auto"/>
        <w:ind w:left="315" w:leftChars="150"/>
        <w:jc w:val="left"/>
        <w:rPr>
          <w:rFonts w:hint="eastAsia" w:ascii="宋体" w:hAnsi="宋体" w:eastAsia="宋体" w:cs="宋体"/>
          <w:sz w:val="24"/>
          <w:szCs w:val="24"/>
        </w:rPr>
      </w:pPr>
      <w:r>
        <w:rPr>
          <w:rFonts w:hint="eastAsia" w:ascii="宋体" w:hAnsi="宋体" w:eastAsia="宋体" w:cs="宋体"/>
          <w:b/>
          <w:sz w:val="24"/>
          <w:szCs w:val="24"/>
        </w:rPr>
        <w:t xml:space="preserve">                      </w:t>
      </w:r>
    </w:p>
    <w:p>
      <w:pPr>
        <w:snapToGrid w:val="0"/>
        <w:spacing w:line="360" w:lineRule="auto"/>
        <w:ind w:left="584" w:hanging="562" w:hangingChars="200"/>
        <w:jc w:val="left"/>
        <w:rPr>
          <w:rFonts w:hint="eastAsia" w:ascii="宋体" w:hAnsi="宋体" w:eastAsia="宋体" w:cs="宋体"/>
          <w:bCs/>
          <w:spacing w:val="6"/>
          <w:sz w:val="24"/>
          <w:szCs w:val="24"/>
        </w:rPr>
      </w:pPr>
      <w:r>
        <w:rPr>
          <w:rFonts w:hint="eastAsia" w:ascii="宋体" w:hAnsi="宋体" w:eastAsia="宋体" w:cs="宋体"/>
          <w:b/>
          <w:bCs/>
          <w:spacing w:val="20"/>
          <w:sz w:val="24"/>
          <w:szCs w:val="24"/>
        </w:rPr>
        <w:t>法定代表人（负责人）身份证明书</w:t>
      </w:r>
      <w:r>
        <w:rPr>
          <w:rFonts w:hint="eastAsia" w:ascii="宋体" w:hAnsi="宋体" w:eastAsia="宋体" w:cs="宋体"/>
          <w:b/>
          <w:sz w:val="24"/>
          <w:szCs w:val="24"/>
        </w:rPr>
        <w:t>格式</w:t>
      </w:r>
    </w:p>
    <w:p>
      <w:pPr>
        <w:snapToGrid w:val="0"/>
        <w:spacing w:line="360" w:lineRule="auto"/>
        <w:ind w:left="584" w:hanging="562" w:hangingChars="200"/>
        <w:jc w:val="center"/>
        <w:rPr>
          <w:rFonts w:hint="eastAsia" w:ascii="宋体" w:hAnsi="宋体" w:eastAsia="宋体" w:cs="宋体"/>
          <w:bCs/>
          <w:spacing w:val="6"/>
          <w:sz w:val="24"/>
          <w:szCs w:val="24"/>
        </w:rPr>
      </w:pPr>
      <w:r>
        <w:rPr>
          <w:rFonts w:hint="eastAsia" w:ascii="宋体" w:hAnsi="宋体" w:eastAsia="宋体" w:cs="宋体"/>
          <w:b/>
          <w:bCs/>
          <w:spacing w:val="20"/>
          <w:sz w:val="24"/>
          <w:szCs w:val="24"/>
        </w:rPr>
        <w:t>法定代表人（负责人）身份证明书</w:t>
      </w:r>
    </w:p>
    <w:p>
      <w:pPr>
        <w:spacing w:line="360" w:lineRule="auto"/>
        <w:ind w:firstLine="570"/>
        <w:jc w:val="center"/>
        <w:rPr>
          <w:rFonts w:hint="eastAsia" w:ascii="宋体" w:hAnsi="宋体" w:eastAsia="宋体" w:cs="宋体"/>
          <w:spacing w:val="6"/>
          <w:sz w:val="24"/>
          <w:szCs w:val="24"/>
        </w:rPr>
      </w:pPr>
    </w:p>
    <w:p>
      <w:pPr>
        <w:spacing w:line="360" w:lineRule="auto"/>
        <w:rPr>
          <w:rFonts w:hint="eastAsia" w:ascii="宋体" w:hAnsi="宋体" w:eastAsia="宋体" w:cs="宋体"/>
          <w:spacing w:val="6"/>
          <w:sz w:val="24"/>
          <w:szCs w:val="24"/>
          <w:u w:val="single"/>
        </w:rPr>
      </w:pPr>
      <w:r>
        <w:rPr>
          <w:rFonts w:hint="eastAsia" w:ascii="宋体" w:hAnsi="宋体" w:eastAsia="宋体" w:cs="宋体"/>
          <w:spacing w:val="6"/>
          <w:sz w:val="24"/>
          <w:szCs w:val="24"/>
        </w:rPr>
        <w:t>单位名称：</w:t>
      </w:r>
      <w:r>
        <w:rPr>
          <w:rFonts w:hint="eastAsia" w:ascii="宋体" w:hAnsi="宋体" w:eastAsia="宋体" w:cs="宋体"/>
          <w:spacing w:val="6"/>
          <w:sz w:val="24"/>
          <w:szCs w:val="24"/>
          <w:u w:val="single"/>
        </w:rPr>
        <w:t xml:space="preserve">                                       </w:t>
      </w:r>
    </w:p>
    <w:p>
      <w:pPr>
        <w:spacing w:line="360" w:lineRule="auto"/>
        <w:rPr>
          <w:rFonts w:hint="eastAsia" w:ascii="宋体" w:hAnsi="宋体" w:eastAsia="宋体" w:cs="宋体"/>
          <w:spacing w:val="6"/>
          <w:sz w:val="24"/>
          <w:szCs w:val="24"/>
          <w:u w:val="single"/>
        </w:rPr>
      </w:pPr>
      <w:r>
        <w:rPr>
          <w:rFonts w:hint="eastAsia" w:ascii="宋体" w:hAnsi="宋体" w:eastAsia="宋体" w:cs="宋体"/>
          <w:spacing w:val="6"/>
          <w:sz w:val="24"/>
          <w:szCs w:val="24"/>
        </w:rPr>
        <w:t>单位性质：</w:t>
      </w:r>
      <w:r>
        <w:rPr>
          <w:rFonts w:hint="eastAsia" w:ascii="宋体" w:hAnsi="宋体" w:eastAsia="宋体" w:cs="宋体"/>
          <w:spacing w:val="6"/>
          <w:sz w:val="24"/>
          <w:szCs w:val="24"/>
          <w:u w:val="single"/>
        </w:rPr>
        <w:t xml:space="preserve">                                       </w:t>
      </w:r>
    </w:p>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地    址：</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w:t>
      </w:r>
    </w:p>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成立时间：    年    月    日</w:t>
      </w:r>
    </w:p>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经营期限：</w:t>
      </w:r>
    </w:p>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 xml:space="preserve">姓    名：                 性  别：         </w:t>
      </w:r>
    </w:p>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 xml:space="preserve">身份证号：                 职  务： </w:t>
      </w:r>
    </w:p>
    <w:p>
      <w:pPr>
        <w:spacing w:line="360" w:lineRule="auto"/>
        <w:rPr>
          <w:rFonts w:hint="eastAsia" w:ascii="宋体" w:hAnsi="宋体" w:eastAsia="宋体" w:cs="宋体"/>
          <w:spacing w:val="6"/>
          <w:sz w:val="24"/>
          <w:szCs w:val="24"/>
        </w:rPr>
      </w:pPr>
      <w:r>
        <w:rPr>
          <w:rFonts w:hint="eastAsia" w:ascii="宋体" w:hAnsi="宋体" w:eastAsia="宋体" w:cs="宋体"/>
          <w:spacing w:val="6"/>
          <w:sz w:val="24"/>
          <w:szCs w:val="24"/>
        </w:rPr>
        <w:t xml:space="preserve">系 </w:t>
      </w:r>
      <w:r>
        <w:rPr>
          <w:rFonts w:hint="eastAsia" w:ascii="宋体" w:hAnsi="宋体" w:eastAsia="宋体" w:cs="宋体"/>
          <w:spacing w:val="6"/>
          <w:sz w:val="24"/>
          <w:szCs w:val="24"/>
          <w:u w:val="single"/>
        </w:rPr>
        <w:t xml:space="preserve">      （磋商供应商名称）          </w:t>
      </w:r>
      <w:r>
        <w:rPr>
          <w:rFonts w:hint="eastAsia" w:ascii="宋体" w:hAnsi="宋体" w:eastAsia="宋体" w:cs="宋体"/>
          <w:spacing w:val="6"/>
          <w:sz w:val="24"/>
          <w:szCs w:val="24"/>
        </w:rPr>
        <w:t xml:space="preserve">的法定代表人（负责人）。 </w:t>
      </w:r>
    </w:p>
    <w:p>
      <w:pPr>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特此证明。</w:t>
      </w:r>
    </w:p>
    <w:p>
      <w:pPr>
        <w:spacing w:line="360" w:lineRule="auto"/>
        <w:rPr>
          <w:rFonts w:hint="eastAsia" w:ascii="宋体" w:hAnsi="宋体" w:eastAsia="宋体" w:cs="宋体"/>
          <w:spacing w:val="20"/>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u w:val="none"/>
        </w:rPr>
        <w:t>磋商供应商</w:t>
      </w:r>
      <w:r>
        <w:rPr>
          <w:rFonts w:hint="eastAsia" w:ascii="宋体" w:hAnsi="宋体" w:eastAsia="宋体" w:cs="宋体"/>
          <w:spacing w:val="20"/>
          <w:sz w:val="24"/>
          <w:szCs w:val="24"/>
        </w:rPr>
        <w:t>：</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(电子签章)</w:t>
      </w:r>
    </w:p>
    <w:p>
      <w:pPr>
        <w:tabs>
          <w:tab w:val="left" w:pos="4490"/>
        </w:tabs>
        <w:snapToGrid w:val="0"/>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ab/>
      </w:r>
      <w:r>
        <w:rPr>
          <w:rFonts w:hint="eastAsia" w:ascii="宋体" w:hAnsi="宋体" w:eastAsia="宋体" w:cs="宋体"/>
          <w:spacing w:val="20"/>
          <w:sz w:val="24"/>
          <w:szCs w:val="24"/>
        </w:rPr>
        <w:t>年   月   日</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附法定代表人有效的身份证正反两面扫描件</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2500" w:type="pct"/>
          </w:tcPr>
          <w:p>
            <w:pPr>
              <w:rPr>
                <w:rFonts w:hint="eastAsia" w:ascii="宋体" w:hAnsi="宋体" w:eastAsia="宋体" w:cs="宋体"/>
                <w:b/>
                <w:szCs w:val="21"/>
              </w:rPr>
            </w:pPr>
          </w:p>
        </w:tc>
        <w:tc>
          <w:tcPr>
            <w:tcW w:w="2499" w:type="pct"/>
          </w:tcPr>
          <w:p>
            <w:pPr>
              <w:rPr>
                <w:rFonts w:hint="eastAsia" w:ascii="宋体" w:hAnsi="宋体" w:eastAsia="宋体" w:cs="宋体"/>
                <w:b/>
                <w:szCs w:val="21"/>
              </w:rPr>
            </w:pPr>
          </w:p>
        </w:tc>
      </w:tr>
    </w:tbl>
    <w:p>
      <w:pPr>
        <w:snapToGrid w:val="0"/>
        <w:rPr>
          <w:rFonts w:hint="eastAsia" w:ascii="宋体" w:hAnsi="宋体" w:eastAsia="宋体" w:cs="宋体"/>
          <w:b/>
          <w:bCs/>
          <w:szCs w:val="21"/>
        </w:rPr>
      </w:pPr>
    </w:p>
    <w:p>
      <w:pPr>
        <w:widowControl/>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法定代表人（负责人）授权委托书 </w:t>
      </w:r>
      <w:r>
        <w:rPr>
          <w:rFonts w:hint="eastAsia" w:ascii="宋体" w:hAnsi="宋体" w:eastAsia="宋体" w:cs="宋体"/>
          <w:b/>
          <w:sz w:val="24"/>
          <w:szCs w:val="24"/>
        </w:rPr>
        <w:t>格式</w:t>
      </w:r>
      <w:r>
        <w:rPr>
          <w:rFonts w:hint="eastAsia" w:ascii="宋体" w:hAnsi="宋体" w:eastAsia="宋体" w:cs="宋体"/>
          <w:b/>
          <w:bCs/>
          <w:sz w:val="24"/>
          <w:szCs w:val="24"/>
        </w:rPr>
        <w:t xml:space="preserve"> </w:t>
      </w:r>
    </w:p>
    <w:p>
      <w:pPr>
        <w:snapToGrid w:val="0"/>
        <w:spacing w:line="360" w:lineRule="auto"/>
        <w:ind w:left="504" w:hanging="482" w:hangingChars="200"/>
        <w:jc w:val="center"/>
        <w:rPr>
          <w:rFonts w:hint="eastAsia" w:ascii="宋体" w:hAnsi="宋体" w:eastAsia="宋体" w:cs="宋体"/>
          <w:b/>
          <w:bCs/>
          <w:sz w:val="24"/>
          <w:szCs w:val="24"/>
        </w:rPr>
      </w:pPr>
    </w:p>
    <w:p>
      <w:pPr>
        <w:snapToGrid w:val="0"/>
        <w:spacing w:line="360" w:lineRule="auto"/>
        <w:ind w:left="504" w:hanging="482" w:hangingChars="200"/>
        <w:jc w:val="center"/>
        <w:rPr>
          <w:rFonts w:hint="eastAsia" w:ascii="宋体" w:hAnsi="宋体" w:eastAsia="宋体" w:cs="宋体"/>
          <w:b/>
          <w:bCs/>
          <w:sz w:val="24"/>
          <w:szCs w:val="24"/>
        </w:rPr>
      </w:pPr>
      <w:r>
        <w:rPr>
          <w:rFonts w:hint="eastAsia" w:ascii="宋体" w:hAnsi="宋体" w:eastAsia="宋体" w:cs="宋体"/>
          <w:b/>
          <w:bCs/>
          <w:sz w:val="24"/>
          <w:szCs w:val="24"/>
        </w:rPr>
        <w:t xml:space="preserve">法定代表人（负责人）授权委托书   </w:t>
      </w:r>
    </w:p>
    <w:p>
      <w:pPr>
        <w:snapToGrid w:val="0"/>
        <w:spacing w:line="360" w:lineRule="auto"/>
        <w:ind w:firstLine="480" w:firstLineChars="200"/>
        <w:rPr>
          <w:rFonts w:hint="eastAsia" w:ascii="宋体" w:hAnsi="宋体" w:eastAsia="宋体" w:cs="宋体"/>
          <w:sz w:val="24"/>
          <w:szCs w:val="24"/>
        </w:rPr>
      </w:pP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（磋商供应商住址）</w:t>
      </w:r>
      <w:r>
        <w:rPr>
          <w:rFonts w:hint="eastAsia" w:ascii="宋体" w:hAnsi="宋体" w:eastAsia="宋体" w:cs="宋体"/>
          <w:sz w:val="24"/>
          <w:szCs w:val="24"/>
        </w:rPr>
        <w:t xml:space="preserve">的 </w:t>
      </w:r>
      <w:r>
        <w:rPr>
          <w:rFonts w:hint="eastAsia" w:ascii="宋体" w:hAnsi="宋体" w:eastAsia="宋体" w:cs="宋体"/>
          <w:sz w:val="24"/>
          <w:szCs w:val="24"/>
          <w:u w:val="single"/>
        </w:rPr>
        <w:t xml:space="preserve">              （磋商供应商名称）</w:t>
      </w: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（法定代表人姓名、职务、身份证号）</w:t>
      </w:r>
      <w:r>
        <w:rPr>
          <w:rFonts w:hint="eastAsia" w:ascii="宋体" w:hAnsi="宋体" w:eastAsia="宋体" w:cs="宋体"/>
          <w:sz w:val="24"/>
          <w:szCs w:val="24"/>
        </w:rPr>
        <w:t>代表本公司授权</w:t>
      </w:r>
      <w:r>
        <w:rPr>
          <w:rFonts w:hint="eastAsia" w:ascii="宋体" w:hAnsi="宋体" w:eastAsia="宋体" w:cs="宋体"/>
          <w:sz w:val="24"/>
          <w:szCs w:val="24"/>
          <w:u w:val="single"/>
        </w:rPr>
        <w:t xml:space="preserve">          （磋商供应商代表姓名、职务、身份证号）</w:t>
      </w:r>
      <w:r>
        <w:rPr>
          <w:rFonts w:hint="eastAsia" w:ascii="宋体" w:hAnsi="宋体" w:eastAsia="宋体" w:cs="宋体"/>
          <w:sz w:val="24"/>
          <w:szCs w:val="24"/>
        </w:rPr>
        <w:t>为本公司的合法代理人，就贵方组织的</w:t>
      </w:r>
      <w:r>
        <w:rPr>
          <w:rFonts w:hint="eastAsia" w:ascii="宋体" w:hAnsi="宋体" w:eastAsia="宋体" w:cs="宋体"/>
          <w:b/>
          <w:sz w:val="24"/>
          <w:szCs w:val="24"/>
          <w:u w:val="single"/>
        </w:rPr>
        <w:t xml:space="preserve">                  </w:t>
      </w:r>
      <w:r>
        <w:rPr>
          <w:rFonts w:hint="eastAsia" w:ascii="宋体" w:hAnsi="宋体" w:eastAsia="宋体" w:cs="宋体"/>
          <w:sz w:val="24"/>
          <w:szCs w:val="24"/>
        </w:rPr>
        <w:t>项目，项目编号：</w:t>
      </w:r>
      <w:r>
        <w:rPr>
          <w:rFonts w:hint="eastAsia" w:ascii="宋体" w:hAnsi="宋体" w:eastAsia="宋体" w:cs="宋体"/>
          <w:b/>
          <w:sz w:val="24"/>
          <w:szCs w:val="24"/>
          <w:u w:val="single"/>
        </w:rPr>
        <w:t xml:space="preserve">                </w:t>
      </w:r>
      <w:r>
        <w:rPr>
          <w:rFonts w:hint="eastAsia" w:ascii="宋体" w:hAnsi="宋体" w:eastAsia="宋体" w:cs="宋体"/>
          <w:sz w:val="24"/>
          <w:szCs w:val="24"/>
        </w:rPr>
        <w:t>，以本公司名义处理一切与之有关的事务。</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本授权书于    年  月  日生效，特此声明。</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磋商供应商：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（电子签章）</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法定代表人（负责人）：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20"/>
          <w:sz w:val="24"/>
          <w:szCs w:val="24"/>
        </w:rPr>
        <w:t>法定代表人电子</w:t>
      </w:r>
      <w:r>
        <w:rPr>
          <w:rFonts w:hint="eastAsia" w:ascii="宋体" w:hAnsi="宋体" w:eastAsia="宋体" w:cs="宋体"/>
          <w:sz w:val="24"/>
          <w:szCs w:val="24"/>
        </w:rPr>
        <w:t>签章）</w:t>
      </w:r>
    </w:p>
    <w:p>
      <w:pPr>
        <w:snapToGrid w:val="0"/>
        <w:spacing w:line="360" w:lineRule="auto"/>
        <w:ind w:firstLine="4440" w:firstLineChars="1850"/>
        <w:rPr>
          <w:rFonts w:hint="eastAsia" w:ascii="宋体" w:hAnsi="宋体" w:eastAsia="宋体" w:cs="宋体"/>
          <w:sz w:val="24"/>
          <w:szCs w:val="24"/>
        </w:rPr>
      </w:pPr>
      <w:r>
        <w:rPr>
          <w:rFonts w:hint="eastAsia" w:ascii="宋体" w:hAnsi="宋体" w:eastAsia="宋体" w:cs="宋体"/>
          <w:sz w:val="24"/>
        </w:rPr>
        <w:t>代理人：</w:t>
      </w:r>
      <w:r>
        <w:rPr>
          <w:rFonts w:hint="eastAsia" w:ascii="宋体" w:hAnsi="宋体" w:eastAsia="宋体" w:cs="宋体"/>
          <w:sz w:val="24"/>
          <w:szCs w:val="24"/>
          <w:u w:val="single"/>
        </w:rPr>
        <w:t xml:space="preserve">        </w:t>
      </w:r>
      <w:r>
        <w:rPr>
          <w:rFonts w:hint="eastAsia" w:ascii="宋体" w:hAnsi="宋体" w:eastAsia="宋体" w:cs="宋体"/>
          <w:sz w:val="24"/>
        </w:rPr>
        <w:t>（电子签章）</w:t>
      </w:r>
      <w:r>
        <w:rPr>
          <w:rFonts w:hint="eastAsia" w:ascii="宋体" w:hAnsi="宋体" w:eastAsia="宋体" w:cs="宋体"/>
          <w:sz w:val="24"/>
          <w:szCs w:val="24"/>
        </w:rPr>
        <w:t xml:space="preserve">                        </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附磋商供应商代表有效的身份证正反两面扫描件</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500" w:type="pct"/>
          </w:tcPr>
          <w:p>
            <w:pPr>
              <w:rPr>
                <w:rFonts w:hint="eastAsia" w:ascii="宋体" w:hAnsi="宋体" w:eastAsia="宋体" w:cs="宋体"/>
                <w:b/>
                <w:szCs w:val="21"/>
              </w:rPr>
            </w:pPr>
          </w:p>
        </w:tc>
        <w:tc>
          <w:tcPr>
            <w:tcW w:w="2500" w:type="pct"/>
          </w:tcPr>
          <w:p>
            <w:pPr>
              <w:rPr>
                <w:rFonts w:hint="eastAsia" w:ascii="宋体" w:hAnsi="宋体" w:eastAsia="宋体" w:cs="宋体"/>
                <w:b/>
                <w:szCs w:val="21"/>
              </w:rPr>
            </w:pPr>
          </w:p>
        </w:tc>
      </w:tr>
    </w:tbl>
    <w:p>
      <w:pPr>
        <w:spacing w:line="360" w:lineRule="exact"/>
        <w:ind w:left="315" w:leftChars="150"/>
        <w:jc w:val="left"/>
        <w:rPr>
          <w:rFonts w:hint="eastAsia" w:ascii="宋体" w:hAnsi="宋体" w:eastAsia="宋体" w:cs="宋体"/>
          <w:szCs w:val="21"/>
        </w:rPr>
      </w:pPr>
    </w:p>
    <w:p>
      <w:pPr>
        <w:spacing w:line="360" w:lineRule="exact"/>
        <w:jc w:val="left"/>
        <w:rPr>
          <w:rFonts w:hint="eastAsia" w:ascii="宋体" w:hAnsi="宋体" w:eastAsia="宋体" w:cs="宋体"/>
          <w:b/>
          <w:szCs w:val="21"/>
        </w:rPr>
      </w:pPr>
    </w:p>
    <w:p>
      <w:pPr>
        <w:spacing w:line="360" w:lineRule="exact"/>
        <w:jc w:val="left"/>
        <w:rPr>
          <w:rFonts w:hint="eastAsia" w:ascii="宋体" w:hAnsi="宋体" w:eastAsia="宋体" w:cs="宋体"/>
          <w:b/>
          <w:szCs w:val="21"/>
        </w:rPr>
      </w:pPr>
    </w:p>
    <w:p>
      <w:pPr>
        <w:spacing w:line="360" w:lineRule="exact"/>
        <w:jc w:val="left"/>
        <w:rPr>
          <w:rFonts w:hint="eastAsia" w:ascii="宋体" w:hAnsi="宋体" w:eastAsia="宋体" w:cs="宋体"/>
          <w:b/>
          <w:szCs w:val="21"/>
        </w:rPr>
      </w:pPr>
    </w:p>
    <w:p>
      <w:pPr>
        <w:spacing w:line="360" w:lineRule="exact"/>
        <w:jc w:val="left"/>
        <w:rPr>
          <w:rFonts w:hint="eastAsia" w:ascii="宋体" w:hAnsi="宋体" w:eastAsia="宋体" w:cs="宋体"/>
          <w:b/>
          <w:szCs w:val="21"/>
        </w:rPr>
      </w:pPr>
    </w:p>
    <w:p>
      <w:pPr>
        <w:spacing w:line="360" w:lineRule="exact"/>
        <w:jc w:val="left"/>
        <w:rPr>
          <w:rFonts w:hint="eastAsia" w:ascii="宋体" w:hAnsi="宋体" w:eastAsia="宋体" w:cs="宋体"/>
          <w:b/>
          <w:szCs w:val="21"/>
        </w:rPr>
      </w:pPr>
    </w:p>
    <w:p>
      <w:pPr>
        <w:spacing w:line="360" w:lineRule="exact"/>
        <w:jc w:val="left"/>
        <w:rPr>
          <w:rFonts w:hint="eastAsia" w:ascii="宋体" w:hAnsi="宋体" w:eastAsia="宋体" w:cs="宋体"/>
          <w:b/>
          <w:szCs w:val="21"/>
        </w:rPr>
      </w:pPr>
    </w:p>
    <w:p>
      <w:pPr>
        <w:widowControl/>
        <w:jc w:val="left"/>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jc w:val="left"/>
        <w:rPr>
          <w:rFonts w:hint="eastAsia" w:ascii="宋体" w:hAnsi="宋体" w:eastAsia="宋体" w:cs="宋体"/>
          <w:sz w:val="24"/>
          <w:szCs w:val="24"/>
        </w:rPr>
      </w:pPr>
      <w:r>
        <w:rPr>
          <w:rFonts w:hint="eastAsia" w:ascii="宋体" w:hAnsi="宋体" w:eastAsia="宋体" w:cs="宋体"/>
          <w:b/>
          <w:sz w:val="24"/>
          <w:szCs w:val="24"/>
        </w:rPr>
        <w:t>（二）响应函格式</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响   应  函</w:t>
      </w:r>
    </w:p>
    <w:p>
      <w:pPr>
        <w:numPr>
          <w:ilvl w:val="0"/>
          <w:numId w:val="0"/>
        </w:numPr>
        <w:spacing w:line="480" w:lineRule="auto"/>
        <w:ind w:leftChars="0"/>
        <w:jc w:val="both"/>
        <w:outlineLvl w:val="0"/>
        <w:rPr>
          <w:rFonts w:hint="eastAsia" w:ascii="宋体" w:hAnsi="宋体" w:eastAsia="宋体" w:cs="宋体"/>
          <w:b/>
          <w:bCs/>
          <w:sz w:val="24"/>
          <w:szCs w:val="24"/>
        </w:rPr>
      </w:pP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val="0"/>
          <w:bCs w:val="0"/>
          <w:kern w:val="2"/>
          <w:sz w:val="24"/>
          <w:szCs w:val="24"/>
          <w:u w:val="single"/>
        </w:rPr>
        <w:t>采购代理机构名称</w:t>
      </w:r>
      <w:r>
        <w:rPr>
          <w:rFonts w:hint="eastAsia" w:ascii="宋体" w:hAnsi="宋体" w:eastAsia="宋体" w:cs="宋体"/>
          <w:b/>
          <w:color w:val="000000"/>
          <w:sz w:val="24"/>
          <w:szCs w:val="24"/>
          <w:u w:val="single"/>
          <w:lang w:val="en-US" w:eastAsia="zh-CN"/>
        </w:rPr>
        <w:t>）</w:t>
      </w:r>
      <w:r>
        <w:rPr>
          <w:rFonts w:hint="eastAsia" w:ascii="宋体" w:hAnsi="宋体" w:eastAsia="宋体" w:cs="宋体"/>
          <w:b/>
          <w:color w:val="000000"/>
          <w:sz w:val="24"/>
          <w:szCs w:val="24"/>
          <w:lang w:val="en-US" w:eastAsia="zh-CN"/>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(磋商供应商全称)</w:t>
      </w:r>
      <w:r>
        <w:rPr>
          <w:rFonts w:hint="eastAsia" w:ascii="宋体" w:hAnsi="宋体" w:eastAsia="宋体" w:cs="宋体"/>
          <w:sz w:val="24"/>
          <w:szCs w:val="24"/>
        </w:rPr>
        <w:t>授权</w:t>
      </w:r>
      <w:r>
        <w:rPr>
          <w:rFonts w:hint="eastAsia" w:ascii="宋体" w:hAnsi="宋体" w:eastAsia="宋体" w:cs="宋体"/>
          <w:sz w:val="24"/>
          <w:szCs w:val="24"/>
          <w:u w:val="single"/>
        </w:rPr>
        <w:t xml:space="preserve">          (磋商供应商代表姓名)            </w:t>
      </w:r>
      <w:r>
        <w:rPr>
          <w:rFonts w:hint="eastAsia" w:ascii="宋体" w:hAnsi="宋体" w:eastAsia="宋体" w:cs="宋体"/>
          <w:sz w:val="24"/>
          <w:szCs w:val="24"/>
        </w:rPr>
        <w:t xml:space="preserve">(职务、职称)为我方代表，参加贵方组织的 </w:t>
      </w:r>
      <w:r>
        <w:rPr>
          <w:rFonts w:hint="eastAsia" w:ascii="宋体" w:hAnsi="宋体" w:eastAsia="宋体" w:cs="宋体"/>
          <w:sz w:val="24"/>
          <w:szCs w:val="24"/>
          <w:u w:val="single"/>
        </w:rPr>
        <w:t xml:space="preserve">                   (项目名称、项目编号)</w:t>
      </w:r>
      <w:r>
        <w:rPr>
          <w:rFonts w:hint="eastAsia" w:ascii="宋体" w:hAnsi="宋体" w:eastAsia="宋体" w:cs="宋体"/>
          <w:sz w:val="24"/>
          <w:szCs w:val="24"/>
        </w:rPr>
        <w:t>竞争性磋商的有关活动，并对此项目进行报价。为此：</w:t>
      </w:r>
    </w:p>
    <w:p>
      <w:pPr>
        <w:pStyle w:val="61"/>
        <w:tabs>
          <w:tab w:val="left" w:pos="171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1、我方已仔细研究了本项目磋商文件的全部内容，愿意以以下报价，按照磋商文件要求及合同约定完成项目。</w:t>
      </w:r>
    </w:p>
    <w:p>
      <w:pPr>
        <w:pStyle w:val="61"/>
        <w:tabs>
          <w:tab w:val="left" w:pos="1711"/>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2、我方同意在本项目磋商文件中规定的响应文件有效期 90个日历天内（自递交响应文件之日起计算）遵守本磋商文件中的承诺且在此期限期满之前均具有约束力。如果成交，响应文件有效期延长至合同履约完毕。</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3、我方承诺已经具备《中华人民共和国政府采购法》中规定的参加政府采购活动的供应商应当具备的全部条件和本磋商文件规定的特定资质要求。</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4、提供磋商须知规定的全部响应文件（电子响应文件和纸质版响应文件）。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5、按磋商文件要求提供和交付的货物和服务的报价详见报价一览表。</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6、我方承诺：完全理解磋商报价超过磋商文件公布的预算金额或最高限价时，报价将拒绝。</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7、保证忠实地执行双方所签订的合同，并承担合同规定的责任和义务。</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8、承诺完全满足和响应磋商文件中的各项商务和技术要求，若有偏差，已在响应文件商务条款偏离表中予以明确特别说明。</w:t>
      </w:r>
    </w:p>
    <w:p>
      <w:pPr>
        <w:pStyle w:val="61"/>
        <w:snapToGrid w:val="0"/>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9、保证遵守磋商文件的规定。</w:t>
      </w:r>
    </w:p>
    <w:p>
      <w:pPr>
        <w:pStyle w:val="61"/>
        <w:snapToGrid w:val="0"/>
        <w:spacing w:line="360" w:lineRule="auto"/>
        <w:ind w:firstLine="470" w:firstLineChars="196"/>
        <w:textAlignment w:val="auto"/>
        <w:rPr>
          <w:rFonts w:hint="eastAsia" w:ascii="宋体" w:hAnsi="宋体" w:eastAsia="宋体" w:cs="宋体"/>
          <w:sz w:val="24"/>
          <w:szCs w:val="24"/>
        </w:rPr>
      </w:pPr>
      <w:r>
        <w:rPr>
          <w:rFonts w:hint="eastAsia" w:ascii="宋体" w:hAnsi="宋体" w:eastAsia="宋体" w:cs="宋体"/>
          <w:sz w:val="24"/>
          <w:szCs w:val="24"/>
        </w:rPr>
        <w:t>10、我方承诺对磋商小组依法从符合相应资格条件的磋商供应商中，确定</w:t>
      </w:r>
      <w:r>
        <w:rPr>
          <w:rFonts w:hint="eastAsia" w:ascii="宋体" w:hAnsi="宋体" w:eastAsia="宋体" w:cs="宋体"/>
          <w:bCs/>
          <w:sz w:val="24"/>
          <w:szCs w:val="24"/>
        </w:rPr>
        <w:t>参加磋商的磋商供应商</w:t>
      </w:r>
      <w:r>
        <w:rPr>
          <w:rFonts w:hint="eastAsia" w:ascii="宋体" w:hAnsi="宋体" w:eastAsia="宋体" w:cs="宋体"/>
          <w:sz w:val="24"/>
          <w:szCs w:val="24"/>
        </w:rPr>
        <w:t>没有任何异议。</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11、对贵方在本次磋商公告刊登的媒体上发布的公告或与本项目有关的通知，我方会及时查看获取。若因线路故障等其他原因导致通知延迟获取或无法获取，责任由我方自负。</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12、我方愿意向贵方提供任何与本项磋商有关的数据、情况和技术资料。若贵方需要，我方愿意提供我方做出的一切承诺的证明材料。</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13、我方已详细审核全部响应文件，包括响应文件修改书（如有的话）、参考资料及有关附件，确认无误。</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14、我方承诺：采购人若需追加采购本项目磋商文件所列货物及相关服务的，在不改变合同其他实质性条款的前提下，按相同或更优惠的折扣率保证供货。</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所有有关本次磋商的一切往来联系方式为：</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rPr>
        <w:tab/>
      </w:r>
      <w:r>
        <w:rPr>
          <w:rFonts w:hint="eastAsia" w:ascii="宋体" w:hAnsi="宋体" w:eastAsia="宋体" w:cs="宋体"/>
          <w:sz w:val="24"/>
          <w:szCs w:val="24"/>
        </w:rPr>
        <w:t xml:space="preserve">                            邮编：</w:t>
      </w:r>
      <w:r>
        <w:rPr>
          <w:rFonts w:hint="eastAsia" w:ascii="宋体" w:hAnsi="宋体" w:eastAsia="宋体" w:cs="宋体"/>
          <w:sz w:val="24"/>
          <w:szCs w:val="24"/>
        </w:rPr>
        <w:tab/>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rPr>
        <w:tab/>
      </w:r>
      <w:r>
        <w:rPr>
          <w:rFonts w:hint="eastAsia" w:ascii="宋体" w:hAnsi="宋体" w:eastAsia="宋体" w:cs="宋体"/>
          <w:sz w:val="24"/>
          <w:szCs w:val="24"/>
        </w:rPr>
        <w:t xml:space="preserve">                            传真：</w:t>
      </w:r>
    </w:p>
    <w:p>
      <w:pPr>
        <w:tabs>
          <w:tab w:val="left" w:pos="48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磋商供应商代表姓名：</w:t>
      </w:r>
    </w:p>
    <w:p>
      <w:pPr>
        <w:tabs>
          <w:tab w:val="left" w:pos="48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磋商供应商代表联系电话：      （办公）           （手机）</w:t>
      </w:r>
    </w:p>
    <w:p>
      <w:pPr>
        <w:tabs>
          <w:tab w:val="left" w:pos="480"/>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E-mail：</w:t>
      </w:r>
    </w:p>
    <w:p>
      <w:pPr>
        <w:snapToGrid w:val="0"/>
        <w:spacing w:line="360" w:lineRule="auto"/>
        <w:ind w:firstLine="2280" w:firstLineChars="950"/>
        <w:rPr>
          <w:rFonts w:hint="eastAsia" w:ascii="宋体" w:hAnsi="宋体" w:eastAsia="宋体" w:cs="宋体"/>
          <w:sz w:val="24"/>
          <w:szCs w:val="24"/>
        </w:rPr>
      </w:pPr>
      <w:r>
        <w:rPr>
          <w:rFonts w:hint="eastAsia" w:ascii="宋体" w:hAnsi="宋体" w:eastAsia="宋体" w:cs="宋体"/>
          <w:sz w:val="24"/>
          <w:szCs w:val="24"/>
        </w:rPr>
        <w:t>磋商供应商：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（电子签章）</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360" w:lineRule="auto"/>
        <w:jc w:val="left"/>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（三）具有独立承担民事责任的能力</w:t>
      </w:r>
    </w:p>
    <w:p>
      <w:pPr>
        <w:pStyle w:val="18"/>
        <w:spacing w:line="360" w:lineRule="auto"/>
        <w:rPr>
          <w:rFonts w:hint="eastAsia" w:ascii="宋体" w:hAnsi="宋体" w:eastAsia="宋体" w:cs="宋体"/>
          <w:lang w:val="en-US" w:eastAsia="zh-CN"/>
        </w:rPr>
      </w:pPr>
      <w:r>
        <w:rPr>
          <w:rFonts w:hint="eastAsia" w:ascii="宋体" w:hAnsi="宋体" w:eastAsia="宋体" w:cs="宋体"/>
          <w:sz w:val="24"/>
          <w:szCs w:val="24"/>
        </w:rPr>
        <w:t>提供</w:t>
      </w:r>
      <w:r>
        <w:rPr>
          <w:rFonts w:hint="eastAsia" w:ascii="宋体" w:hAnsi="宋体" w:eastAsia="宋体" w:cs="宋体"/>
          <w:sz w:val="24"/>
          <w:szCs w:val="24"/>
          <w:lang w:eastAsia="zh-CN"/>
        </w:rPr>
        <w:t>投标供应商</w:t>
      </w:r>
      <w:r>
        <w:rPr>
          <w:rFonts w:hint="eastAsia" w:ascii="宋体" w:hAnsi="宋体" w:eastAsia="宋体" w:cs="宋体"/>
          <w:sz w:val="24"/>
          <w:szCs w:val="24"/>
        </w:rPr>
        <w:t>有效的营业执照，或事业单位法人证书，或自然人身份证明，或其他非企业组织证明独立承担民事责任能力的文件扫描件</w:t>
      </w:r>
      <w:r>
        <w:rPr>
          <w:rFonts w:hint="eastAsia" w:ascii="宋体" w:hAnsi="宋体" w:eastAsia="宋体" w:cs="宋体"/>
          <w:sz w:val="24"/>
          <w:szCs w:val="24"/>
          <w:lang w:eastAsia="zh-CN"/>
        </w:rPr>
        <w:t>及供应商承诺函</w:t>
      </w:r>
      <w:r>
        <w:rPr>
          <w:rFonts w:hint="eastAsia" w:ascii="宋体" w:hAnsi="宋体" w:eastAsia="宋体" w:cs="宋体"/>
          <w:sz w:val="24"/>
          <w:szCs w:val="24"/>
        </w:rPr>
        <w:t>；</w:t>
      </w:r>
    </w:p>
    <w:p>
      <w:pPr>
        <w:spacing w:before="305" w:line="219" w:lineRule="auto"/>
        <w:ind w:left="2502"/>
        <w:outlineLvl w:val="1"/>
        <w:rPr>
          <w:rFonts w:hint="eastAsia" w:ascii="宋体" w:hAnsi="宋体" w:eastAsia="宋体" w:cs="宋体"/>
          <w:color w:val="auto"/>
          <w:sz w:val="24"/>
          <w:szCs w:val="24"/>
          <w:highlight w:val="none"/>
        </w:rPr>
      </w:pPr>
      <w:bookmarkStart w:id="97" w:name="_Toc29918"/>
      <w:bookmarkStart w:id="98" w:name="_Toc26449"/>
      <w:r>
        <w:rPr>
          <w:rFonts w:hint="eastAsia" w:ascii="宋体" w:hAnsi="宋体" w:eastAsia="宋体" w:cs="宋体"/>
          <w:color w:val="auto"/>
          <w:sz w:val="24"/>
          <w:szCs w:val="24"/>
          <w:highlight w:val="none"/>
        </w:rPr>
        <w:t>具有独立承担民事责任的能力的承诺函</w:t>
      </w:r>
      <w:bookmarkEnd w:id="97"/>
      <w:bookmarkEnd w:id="98"/>
    </w:p>
    <w:p>
      <w:pPr>
        <w:pStyle w:val="18"/>
        <w:spacing w:line="284" w:lineRule="auto"/>
        <w:rPr>
          <w:rFonts w:hint="eastAsia" w:ascii="宋体" w:hAnsi="宋体" w:eastAsia="宋体" w:cs="宋体"/>
          <w:color w:val="auto"/>
          <w:sz w:val="24"/>
          <w:szCs w:val="24"/>
          <w:highlight w:val="none"/>
        </w:rPr>
      </w:pPr>
    </w:p>
    <w:p>
      <w:pPr>
        <w:pStyle w:val="18"/>
        <w:spacing w:line="285" w:lineRule="auto"/>
        <w:rPr>
          <w:rFonts w:hint="eastAsia" w:ascii="宋体" w:hAnsi="宋体" w:eastAsia="宋体" w:cs="宋体"/>
          <w:color w:val="auto"/>
          <w:sz w:val="24"/>
          <w:szCs w:val="24"/>
          <w:highlight w:val="none"/>
        </w:rPr>
      </w:pPr>
    </w:p>
    <w:p>
      <w:pPr>
        <w:tabs>
          <w:tab w:val="left" w:pos="2070"/>
        </w:tabs>
        <w:spacing w:before="78" w:line="239"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86"/>
          <w:sz w:val="24"/>
          <w:szCs w:val="24"/>
          <w:highlight w:val="none"/>
          <w:u w:val="single" w:color="auto"/>
        </w:rPr>
        <w:t>:</w:t>
      </w:r>
      <w:r>
        <w:rPr>
          <w:rFonts w:hint="eastAsia" w:ascii="宋体" w:hAnsi="宋体" w:eastAsia="宋体" w:cs="宋体"/>
          <w:color w:val="auto"/>
          <w:sz w:val="24"/>
          <w:szCs w:val="24"/>
          <w:highlight w:val="none"/>
          <w:u w:val="single" w:color="auto"/>
        </w:rPr>
        <w:t xml:space="preserve">  </w:t>
      </w:r>
    </w:p>
    <w:p>
      <w:pPr>
        <w:spacing w:before="144" w:line="369" w:lineRule="auto"/>
        <w:ind w:left="10"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本供应商现参与</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07"/>
          <w:sz w:val="24"/>
          <w:szCs w:val="24"/>
          <w:highlight w:val="none"/>
        </w:rPr>
        <w:t xml:space="preserve"> </w:t>
      </w:r>
      <w:r>
        <w:rPr>
          <w:rFonts w:hint="eastAsia" w:ascii="宋体" w:hAnsi="宋体" w:eastAsia="宋体" w:cs="宋体"/>
          <w:color w:val="auto"/>
          <w:spacing w:val="-2"/>
          <w:sz w:val="24"/>
          <w:szCs w:val="24"/>
          <w:highlight w:val="none"/>
        </w:rPr>
        <w:t>项目（项目编号</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的招</w:t>
      </w:r>
      <w:r>
        <w:rPr>
          <w:rFonts w:hint="eastAsia" w:ascii="宋体" w:hAnsi="宋体" w:eastAsia="宋体" w:cs="宋体"/>
          <w:color w:val="auto"/>
          <w:sz w:val="24"/>
          <w:szCs w:val="24"/>
          <w:highlight w:val="none"/>
        </w:rPr>
        <w:t>标活动，依据</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相关规定，郑重承诺：我公司具有</w:t>
      </w:r>
      <w:r>
        <w:rPr>
          <w:rFonts w:hint="eastAsia" w:ascii="宋体" w:hAnsi="宋体" w:eastAsia="宋体" w:cs="宋体"/>
          <w:color w:val="auto"/>
          <w:spacing w:val="-1"/>
          <w:sz w:val="24"/>
          <w:szCs w:val="24"/>
          <w:highlight w:val="none"/>
        </w:rPr>
        <w:t>有效的营业执照或事业单位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法人证书或自然人身份证明或其他非企业组织证明，证件号为</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1"/>
          <w:sz w:val="24"/>
          <w:szCs w:val="24"/>
          <w:highlight w:val="none"/>
        </w:rPr>
        <w:t>基</w:t>
      </w:r>
      <w:r>
        <w:rPr>
          <w:rFonts w:hint="eastAsia" w:ascii="宋体" w:hAnsi="宋体" w:eastAsia="宋体" w:cs="宋体"/>
          <w:color w:val="auto"/>
          <w:sz w:val="24"/>
          <w:szCs w:val="24"/>
          <w:highlight w:val="none"/>
        </w:rPr>
        <w:t xml:space="preserve"> 本开户行为</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账户号码为</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具有独立承担民事</w:t>
      </w:r>
      <w:r>
        <w:rPr>
          <w:rFonts w:hint="eastAsia" w:ascii="宋体" w:hAnsi="宋体" w:eastAsia="宋体" w:cs="宋体"/>
          <w:color w:val="auto"/>
          <w:spacing w:val="-1"/>
          <w:sz w:val="24"/>
          <w:szCs w:val="24"/>
          <w:highlight w:val="none"/>
        </w:rPr>
        <w:t>责任的能力，符合本项目</w:t>
      </w:r>
      <w:r>
        <w:rPr>
          <w:rFonts w:hint="eastAsia" w:ascii="宋体" w:hAnsi="宋体" w:eastAsia="宋体" w:cs="宋体"/>
          <w:color w:val="auto"/>
          <w:spacing w:val="-1"/>
          <w:sz w:val="24"/>
          <w:szCs w:val="24"/>
          <w:highlight w:val="none"/>
          <w:lang w:eastAsia="zh-CN"/>
        </w:rPr>
        <w:t>招标</w:t>
      </w:r>
      <w:r>
        <w:rPr>
          <w:rFonts w:hint="eastAsia" w:ascii="宋体" w:hAnsi="宋体" w:eastAsia="宋体" w:cs="宋体"/>
          <w:color w:val="auto"/>
          <w:spacing w:val="-1"/>
          <w:sz w:val="24"/>
          <w:szCs w:val="24"/>
          <w:highlight w:val="none"/>
        </w:rPr>
        <w:t>文件规定的供应商资格要求。</w:t>
      </w:r>
    </w:p>
    <w:p>
      <w:pPr>
        <w:spacing w:before="144" w:line="369" w:lineRule="auto"/>
        <w:ind w:left="11" w:firstLine="479"/>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如有虚假或隐瞒，我方愿意承担一切后果，并不再寻求任何旨在减轻或免除法律责任的辩解。</w:t>
      </w:r>
    </w:p>
    <w:p>
      <w:pPr>
        <w:spacing w:before="196" w:line="219" w:lineRule="auto"/>
        <w:ind w:left="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特此承诺</w:t>
      </w:r>
    </w:p>
    <w:p>
      <w:pPr>
        <w:pStyle w:val="18"/>
        <w:spacing w:line="247" w:lineRule="auto"/>
        <w:rPr>
          <w:rFonts w:hint="eastAsia" w:ascii="宋体" w:hAnsi="宋体" w:eastAsia="宋体" w:cs="宋体"/>
          <w:color w:val="auto"/>
          <w:sz w:val="24"/>
          <w:szCs w:val="24"/>
          <w:highlight w:val="none"/>
        </w:rPr>
      </w:pPr>
    </w:p>
    <w:p>
      <w:pPr>
        <w:pStyle w:val="18"/>
        <w:spacing w:line="248" w:lineRule="auto"/>
        <w:rPr>
          <w:rFonts w:hint="eastAsia" w:ascii="宋体" w:hAnsi="宋体" w:eastAsia="宋体" w:cs="宋体"/>
          <w:color w:val="auto"/>
          <w:sz w:val="24"/>
          <w:szCs w:val="24"/>
          <w:highlight w:val="none"/>
        </w:rPr>
      </w:pPr>
    </w:p>
    <w:p>
      <w:pPr>
        <w:spacing w:before="78" w:line="219" w:lineRule="auto"/>
        <w:ind w:left="360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磋商供应商：</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8"/>
          <w:sz w:val="24"/>
          <w:szCs w:val="24"/>
          <w:highlight w:val="none"/>
        </w:rPr>
        <w:t>（电子签章</w:t>
      </w:r>
      <w:r>
        <w:rPr>
          <w:rFonts w:hint="eastAsia" w:ascii="宋体" w:hAnsi="宋体" w:eastAsia="宋体" w:cs="宋体"/>
          <w:color w:val="auto"/>
          <w:spacing w:val="4"/>
          <w:sz w:val="24"/>
          <w:szCs w:val="24"/>
          <w:highlight w:val="none"/>
        </w:rPr>
        <w:t>）</w:t>
      </w:r>
    </w:p>
    <w:p>
      <w:pPr>
        <w:spacing w:before="184" w:line="360" w:lineRule="auto"/>
        <w:ind w:left="301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法定代表人或委托代理人（签字或盖章</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color="auto"/>
        </w:rPr>
        <w:t xml:space="preserve">          </w:t>
      </w:r>
    </w:p>
    <w:p>
      <w:pPr>
        <w:spacing w:line="220" w:lineRule="auto"/>
        <w:ind w:left="3650"/>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日</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1"/>
          <w:sz w:val="24"/>
          <w:szCs w:val="24"/>
          <w:highlight w:val="none"/>
        </w:rPr>
        <w:t>期：</w:t>
      </w:r>
    </w:p>
    <w:p>
      <w:pPr>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outlineLvl w:val="0"/>
        <w:rPr>
          <w:rFonts w:hint="eastAsia" w:ascii="宋体" w:hAnsi="宋体" w:eastAsia="宋体" w:cs="宋体"/>
          <w:b/>
          <w:color w:val="auto"/>
          <w:kern w:val="0"/>
          <w:sz w:val="24"/>
          <w:szCs w:val="24"/>
          <w:highlight w:val="none"/>
        </w:rPr>
      </w:pPr>
      <w:r>
        <w:rPr>
          <w:rFonts w:hint="eastAsia" w:ascii="宋体" w:hAnsi="宋体" w:eastAsia="宋体" w:cs="宋体"/>
          <w:b/>
          <w:sz w:val="24"/>
          <w:szCs w:val="24"/>
        </w:rPr>
        <w:t>（</w:t>
      </w:r>
      <w:r>
        <w:rPr>
          <w:rFonts w:hint="eastAsia" w:ascii="宋体" w:hAnsi="宋体" w:eastAsia="宋体" w:cs="宋体"/>
          <w:b/>
          <w:kern w:val="0"/>
          <w:sz w:val="24"/>
          <w:szCs w:val="24"/>
        </w:rPr>
        <w:t>四）</w:t>
      </w:r>
      <w:r>
        <w:rPr>
          <w:rFonts w:hint="eastAsia" w:ascii="宋体" w:hAnsi="宋体" w:eastAsia="宋体" w:cs="宋体"/>
          <w:b/>
          <w:color w:val="auto"/>
          <w:kern w:val="0"/>
          <w:sz w:val="24"/>
          <w:szCs w:val="24"/>
        </w:rPr>
        <w:t>政府采购供应商信用承诺书</w:t>
      </w:r>
    </w:p>
    <w:p>
      <w:pPr>
        <w:spacing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政府采购供应商信用承诺书</w:t>
      </w:r>
    </w:p>
    <w:p>
      <w:pPr>
        <w:spacing w:line="500" w:lineRule="exact"/>
        <w:ind w:firstLine="480" w:firstLineChars="200"/>
        <w:rPr>
          <w:rFonts w:hint="eastAsia" w:ascii="宋体" w:hAnsi="宋体" w:eastAsia="宋体" w:cs="宋体"/>
          <w:color w:val="auto"/>
          <w:sz w:val="24"/>
          <w:szCs w:val="24"/>
        </w:rPr>
      </w:pPr>
    </w:p>
    <w:p>
      <w:pPr>
        <w:spacing w:line="5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p>
    <w:p>
      <w:pPr>
        <w:spacing w:line="5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pPr>
        <w:spacing w:line="50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为维护政府采购市场秩序,遵循公开透明、公平竞争、公正原则和诚实信用原则,本单位/个人自愿做出以下承诺:</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承诺本单位/本人严格遵守国家法律、法规和规章,全面履行应尽的责任和义务,全面做到履约守信;</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承诺本单位/本人具有良好的商业信誉和健全的财务会计制度（具有审计资格的第三方出具的 2022 年度审计报告，或基本开户银行出具的资信证明，或财政部门认可的政府采购专业担保机构出具的投标担保函）；</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承诺本单位/本人具有履行合同所必需的设备和专业技术能力；</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承诺本单位/本人有依法缴纳税收和社会保障资金的良好记录（具有税务登记证，和近一年内</w:t>
      </w:r>
      <w:r>
        <w:rPr>
          <w:rFonts w:hint="eastAsia" w:ascii="宋体" w:hAnsi="宋体" w:eastAsia="宋体" w:cs="宋体"/>
          <w:color w:val="auto"/>
          <w:sz w:val="24"/>
          <w:szCs w:val="24"/>
          <w:lang w:val="en-US" w:eastAsia="zh-CN"/>
        </w:rPr>
        <w:t>最近一次</w:t>
      </w:r>
      <w:r>
        <w:rPr>
          <w:rFonts w:hint="eastAsia" w:ascii="宋体" w:hAnsi="宋体" w:eastAsia="宋体" w:cs="宋体"/>
          <w:color w:val="auto"/>
          <w:sz w:val="24"/>
          <w:szCs w:val="24"/>
        </w:rPr>
        <w:t>良好纳税证明或能证明已缴纳税收的其他材料；具有社会保险登记证，和近一年内</w:t>
      </w:r>
      <w:r>
        <w:rPr>
          <w:rFonts w:hint="eastAsia" w:ascii="宋体" w:hAnsi="宋体" w:eastAsia="宋体" w:cs="宋体"/>
          <w:color w:val="auto"/>
          <w:sz w:val="24"/>
          <w:szCs w:val="24"/>
          <w:lang w:val="en-US" w:eastAsia="zh-CN"/>
        </w:rPr>
        <w:t>最近一次</w:t>
      </w:r>
      <w:r>
        <w:rPr>
          <w:rFonts w:hint="eastAsia" w:ascii="宋体" w:hAnsi="宋体" w:eastAsia="宋体" w:cs="宋体"/>
          <w:color w:val="auto"/>
          <w:sz w:val="24"/>
          <w:szCs w:val="24"/>
        </w:rPr>
        <w:t>缴纳任意一项社会保险的凭据或社会保险缴纳清单或银行代收的凭据，或能证明已缴纳社会保险的其他材料）；</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承诺本单位/本人参加政府采购活动前三年内，在经营活动中没有因违法经营受到刑事处罚或者责令停产停业、吊销许可证或者执照、较大数额罚款等行政处罚；在投标前查询了在信用中国网中的信用信息，本公司/本人未列入失信被执行人、重大税收违法案件当事人名单；查询了在中国政府采购网中的政府采购严重违法失信行为信息，本公司未列入政府采购严重违法失信行为记录名单；</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承诺本单位/本人提交的保证金按招标文件要求足额缴纳且从我单位/本人基本账户转出；</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 承诺本单位/本人提供的所有投标（响应）资料均合法、真实、有效,无任何伪造、篡改、虚假成份,并对所提供资料的真实性负责；</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 承诺本单位/本人若违背承诺约定, 愿意依法承担相应的法律责任,并同意将不良行为在信用中国或中国政府采购网公示。</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pacing w:line="500" w:lineRule="exact"/>
        <w:ind w:firstLine="480" w:firstLineChars="200"/>
        <w:rPr>
          <w:rFonts w:hint="eastAsia" w:ascii="宋体" w:hAnsi="宋体" w:eastAsia="宋体" w:cs="宋体"/>
          <w:color w:val="auto"/>
          <w:sz w:val="24"/>
          <w:szCs w:val="24"/>
        </w:rPr>
      </w:pPr>
    </w:p>
    <w:p>
      <w:pPr>
        <w:pStyle w:val="18"/>
        <w:spacing w:line="301" w:lineRule="auto"/>
        <w:rPr>
          <w:rFonts w:hint="eastAsia" w:ascii="宋体" w:hAnsi="宋体" w:eastAsia="宋体" w:cs="宋体"/>
          <w:color w:val="auto"/>
          <w:highlight w:val="none"/>
        </w:rPr>
      </w:pPr>
    </w:p>
    <w:p>
      <w:pPr>
        <w:pStyle w:val="18"/>
        <w:spacing w:line="301" w:lineRule="auto"/>
        <w:rPr>
          <w:rFonts w:hint="eastAsia" w:ascii="宋体" w:hAnsi="宋体" w:eastAsia="宋体" w:cs="宋体"/>
          <w:color w:val="auto"/>
          <w:highlight w:val="none"/>
        </w:rPr>
      </w:pPr>
    </w:p>
    <w:p>
      <w:pPr>
        <w:spacing w:before="78" w:line="219" w:lineRule="auto"/>
        <w:ind w:left="3731"/>
        <w:rPr>
          <w:rFonts w:hint="eastAsia" w:ascii="宋体" w:hAnsi="宋体" w:eastAsia="宋体" w:cs="宋体"/>
          <w:color w:val="auto"/>
          <w:sz w:val="24"/>
          <w:szCs w:val="24"/>
          <w:highlight w:val="none"/>
        </w:rPr>
      </w:pPr>
      <w:r>
        <w:rPr>
          <w:rFonts w:hint="eastAsia" w:ascii="宋体" w:hAnsi="宋体" w:cs="宋体"/>
          <w:color w:val="auto"/>
          <w:spacing w:val="4"/>
          <w:sz w:val="24"/>
          <w:szCs w:val="24"/>
          <w:highlight w:val="none"/>
          <w:lang w:val="en-US" w:eastAsia="zh-CN"/>
        </w:rPr>
        <w:t>磋商</w:t>
      </w:r>
      <w:r>
        <w:rPr>
          <w:rFonts w:hint="eastAsia" w:ascii="宋体" w:hAnsi="宋体" w:eastAsia="宋体" w:cs="宋体"/>
          <w:color w:val="auto"/>
          <w:spacing w:val="4"/>
          <w:sz w:val="24"/>
          <w:szCs w:val="24"/>
          <w:highlight w:val="none"/>
        </w:rPr>
        <w:t>供应商</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8"/>
          <w:sz w:val="24"/>
          <w:szCs w:val="24"/>
          <w:highlight w:val="none"/>
        </w:rPr>
        <w:t>（电子签章</w:t>
      </w:r>
      <w:r>
        <w:rPr>
          <w:rFonts w:hint="eastAsia" w:ascii="宋体" w:hAnsi="宋体" w:eastAsia="宋体" w:cs="宋体"/>
          <w:color w:val="auto"/>
          <w:spacing w:val="4"/>
          <w:sz w:val="24"/>
          <w:szCs w:val="24"/>
          <w:highlight w:val="none"/>
        </w:rPr>
        <w:t>）</w:t>
      </w:r>
    </w:p>
    <w:p>
      <w:pPr>
        <w:spacing w:before="184" w:line="360" w:lineRule="auto"/>
        <w:ind w:left="313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法定代表人或委托代理人（签字或盖章</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color="auto"/>
        </w:rPr>
        <w:t xml:space="preserve">          </w:t>
      </w:r>
    </w:p>
    <w:p>
      <w:pPr>
        <w:spacing w:line="220" w:lineRule="auto"/>
        <w:ind w:left="377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日</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1"/>
          <w:sz w:val="24"/>
          <w:szCs w:val="24"/>
          <w:highlight w:val="none"/>
        </w:rPr>
        <w:t>期：</w:t>
      </w:r>
    </w:p>
    <w:p>
      <w:pPr>
        <w:spacing w:line="360" w:lineRule="auto"/>
        <w:rPr>
          <w:rFonts w:hint="eastAsia" w:ascii="宋体" w:hAnsi="宋体" w:eastAsia="宋体" w:cs="宋体"/>
          <w:b/>
          <w:color w:val="auto"/>
          <w:sz w:val="24"/>
          <w:szCs w:val="24"/>
          <w:lang w:val="en-US" w:eastAsia="zh-CN"/>
        </w:rPr>
      </w:pPr>
    </w:p>
    <w:p>
      <w:pPr>
        <w:spacing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注：供应商须在承诺书后附下列附件：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（1）具有审计资格的第三方出具的2022年度审计报告，或基本开户银行出具的资信证明，或财政部门认可的政府采购专业担保机构出具的投标担保函；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（2）近一年内最近一次良好纳税证明或能证明已缴纳税收的其他材料；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（3）近一年内最近一次缴纳任意一项社会保险的凭据或社会保险缴纳清单或银行代收的凭据，或能证明已缴纳社会保险的其他材料；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（4）招标公告发布之日至投标截止日之间在“信用中国”查询的未列入失信被执行人、重大税收违法案件当事人名单截图，在“中国政府采购网”查询的政府采购严重违法失信行为截图。</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23"/>
        <w:rPr>
          <w:rFonts w:hint="eastAsia" w:ascii="宋体" w:hAnsi="宋体" w:eastAsia="宋体" w:cs="宋体"/>
        </w:rPr>
      </w:pP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五</w:t>
      </w:r>
      <w:r>
        <w:rPr>
          <w:rFonts w:hint="eastAsia" w:ascii="宋体" w:hAnsi="宋体" w:eastAsia="宋体" w:cs="宋体"/>
          <w:b/>
          <w:sz w:val="24"/>
          <w:szCs w:val="24"/>
        </w:rPr>
        <w:t>）磋商保证金的交纳情况及开户许可证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提供响应保证金交纳证明扫描件；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提供响应人基本存款账户开户许可证（已取消企业银行账户许可的提供银行证明或提供取消企业银行账户许可的相关公告）扫描件。</w:t>
      </w:r>
    </w:p>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eastAsia="zh-CN"/>
        </w:rPr>
        <w:t>六</w:t>
      </w:r>
      <w:r>
        <w:rPr>
          <w:rFonts w:hint="eastAsia" w:ascii="宋体" w:hAnsi="宋体" w:eastAsia="宋体" w:cs="宋体"/>
          <w:b/>
          <w:sz w:val="24"/>
          <w:szCs w:val="24"/>
        </w:rPr>
        <w:t>）联合体磋商注意事项</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1、联合体各方均应当符合《政府采购法》第二十二条规定的条件，联合体各方均应按照采购文件要求提供相关材料。</w:t>
      </w:r>
    </w:p>
    <w:p>
      <w:pPr>
        <w:pStyle w:val="61"/>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2、本项目有特定资格条件要求的，联合体各方的同类资质按照资质等级较低的确定联合体资质等级。联合体各方不得再单独参加或者与其他供应商另外组成联合体参加本项目同一包的采购活动。</w:t>
      </w:r>
    </w:p>
    <w:p>
      <w:pPr>
        <w:spacing w:line="360" w:lineRule="auto"/>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3、联合体各方之间应当签订联合磋商协议，明确约定联合体各方承担的工作和相应的责任，并将联合磋商协议连同响应文件一并提交。</w:t>
      </w:r>
    </w:p>
    <w:p>
      <w:pPr>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联合磋商协议书格式</w:t>
      </w:r>
    </w:p>
    <w:p>
      <w:pPr>
        <w:spacing w:line="360" w:lineRule="auto"/>
        <w:ind w:firstLine="482" w:firstLineChars="200"/>
        <w:jc w:val="center"/>
        <w:rPr>
          <w:rFonts w:hint="eastAsia" w:ascii="宋体" w:hAnsi="宋体" w:eastAsia="宋体" w:cs="宋体"/>
          <w:b/>
          <w:sz w:val="24"/>
          <w:szCs w:val="24"/>
        </w:rPr>
      </w:pPr>
      <w:bookmarkStart w:id="99" w:name="_Toc18390_WPSOffice_Level2"/>
      <w:r>
        <w:rPr>
          <w:rFonts w:hint="eastAsia" w:ascii="宋体" w:hAnsi="宋体" w:eastAsia="宋体" w:cs="宋体"/>
          <w:b/>
          <w:sz w:val="24"/>
          <w:szCs w:val="24"/>
        </w:rPr>
        <w:t>《联合磋商协议书》</w:t>
      </w:r>
      <w:bookmarkEnd w:id="99"/>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联合磋商各方：</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住所：</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住所：</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（如果有的话，可按甲、乙、丙、丁…序列增加）</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根据《政府采购法》第二十四条之规定，为响应</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项目（项目名称、磋商编号）的磋商活动，各方经协商，就联合进行磋商之事宜，达成如下协议：</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一、各方一致决定，以 </w:t>
      </w:r>
      <w:r>
        <w:rPr>
          <w:rFonts w:hint="eastAsia" w:ascii="宋体" w:hAnsi="宋体" w:eastAsia="宋体" w:cs="宋体"/>
          <w:sz w:val="24"/>
          <w:szCs w:val="24"/>
          <w:u w:val="single"/>
        </w:rPr>
        <w:t xml:space="preserve">                            </w:t>
      </w:r>
      <w:r>
        <w:rPr>
          <w:rFonts w:hint="eastAsia" w:ascii="宋体" w:hAnsi="宋体" w:eastAsia="宋体" w:cs="宋体"/>
          <w:sz w:val="24"/>
          <w:szCs w:val="24"/>
        </w:rPr>
        <w:t>为主办人进行磋商，并按照磋商文件的规定分别提交资格文件。</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在本次磋商过程中，主办人法定代表人或授权代理人根据磋商文件规定及响应内容而对磋商方和采购人所作的任何合法承诺，包括书面澄清及响应等均对联合磋商各方产生约束力。如果成交并签订合同，则联合磋商各方将共同履行对磋商方和采购人所负有的全部义务并就采购合同约定的事项对采购人承担连带责任。</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三、联合磋商其余各方保证对主办人为响应本次磋商而提供的货物和相关服务提供全部质量保证及售后服务支持。</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四、本次联合磋商中，甲方承担的工作和义务为:</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乙方承担的工作和义务为：</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五、本协议提交磋商方后，联合各方不得以任何形式对上述实质内容进行修改或撤销。</w:t>
      </w:r>
    </w:p>
    <w:p>
      <w:pPr>
        <w:pStyle w:val="6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六、本协议一式三份，甲、乙双方各持一份，另一份作为磋商文件的组成部分。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b/>
          <w:spacing w:val="20"/>
          <w:sz w:val="24"/>
          <w:szCs w:val="24"/>
        </w:rPr>
        <w:t>法人电子签章</w:t>
      </w:r>
      <w:r>
        <w:rPr>
          <w:rFonts w:hint="eastAsia" w:ascii="宋体" w:hAnsi="宋体" w:eastAsia="宋体" w:cs="宋体"/>
          <w:sz w:val="24"/>
          <w:szCs w:val="24"/>
        </w:rPr>
        <w:t>）：                  乙方（</w:t>
      </w:r>
      <w:r>
        <w:rPr>
          <w:rFonts w:hint="eastAsia" w:ascii="宋体" w:hAnsi="宋体" w:eastAsia="宋体" w:cs="宋体"/>
          <w:b/>
          <w:spacing w:val="20"/>
          <w:sz w:val="24"/>
          <w:szCs w:val="24"/>
        </w:rPr>
        <w:t>法人电子签章</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b/>
          <w:spacing w:val="20"/>
          <w:sz w:val="24"/>
          <w:szCs w:val="24"/>
        </w:rPr>
        <w:t>法定代表人电子签章</w:t>
      </w:r>
      <w:r>
        <w:rPr>
          <w:rFonts w:hint="eastAsia" w:ascii="宋体" w:hAnsi="宋体" w:eastAsia="宋体" w:cs="宋体"/>
          <w:sz w:val="24"/>
          <w:szCs w:val="24"/>
        </w:rPr>
        <w:t>）：    法定代表人（</w:t>
      </w:r>
      <w:r>
        <w:rPr>
          <w:rFonts w:hint="eastAsia" w:ascii="宋体" w:hAnsi="宋体" w:eastAsia="宋体" w:cs="宋体"/>
          <w:b/>
          <w:spacing w:val="20"/>
          <w:sz w:val="24"/>
          <w:szCs w:val="24"/>
        </w:rPr>
        <w:t>法定代表人电子签章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  年  月  日                             20  年  月  日</w:t>
      </w:r>
    </w:p>
    <w:p>
      <w:pPr>
        <w:spacing w:line="360" w:lineRule="auto"/>
        <w:ind w:firstLine="480" w:firstLineChars="200"/>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pStyle w:val="3"/>
        <w:numPr>
          <w:ilvl w:val="0"/>
          <w:numId w:val="0"/>
        </w:numPr>
        <w:snapToGrid w:val="0"/>
        <w:spacing w:line="360" w:lineRule="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sz w:val="24"/>
          <w:szCs w:val="24"/>
        </w:rPr>
        <w:t>（</w:t>
      </w:r>
      <w:r>
        <w:rPr>
          <w:rFonts w:hint="eastAsia" w:ascii="宋体" w:hAnsi="宋体" w:eastAsia="宋体" w:cs="宋体"/>
          <w:b/>
          <w:sz w:val="24"/>
          <w:szCs w:val="24"/>
          <w:lang w:eastAsia="zh-CN"/>
        </w:rPr>
        <w:t>七</w:t>
      </w:r>
      <w:r>
        <w:rPr>
          <w:rFonts w:hint="eastAsia" w:ascii="宋体" w:hAnsi="宋体" w:eastAsia="宋体" w:cs="宋体"/>
          <w:b/>
          <w:sz w:val="24"/>
          <w:szCs w:val="24"/>
        </w:rPr>
        <w:t>）</w:t>
      </w:r>
      <w:r>
        <w:rPr>
          <w:rFonts w:hint="eastAsia" w:ascii="宋体" w:hAnsi="宋体" w:eastAsia="宋体" w:cs="宋体"/>
          <w:b/>
          <w:sz w:val="24"/>
          <w:szCs w:val="24"/>
          <w:lang w:eastAsia="zh-CN"/>
        </w:rPr>
        <w:t>本项目落实</w:t>
      </w:r>
      <w:r>
        <w:rPr>
          <w:rFonts w:hint="eastAsia" w:ascii="宋体" w:hAnsi="宋体" w:eastAsia="宋体" w:cs="宋体"/>
          <w:b/>
          <w:bCs/>
          <w:color w:val="auto"/>
          <w:kern w:val="0"/>
          <w:sz w:val="24"/>
          <w:szCs w:val="24"/>
          <w:highlight w:val="none"/>
        </w:rPr>
        <w:t>政府采购政策</w:t>
      </w:r>
      <w:r>
        <w:rPr>
          <w:rFonts w:hint="eastAsia" w:ascii="宋体" w:hAnsi="宋体" w:eastAsia="宋体" w:cs="宋体"/>
          <w:b/>
          <w:bCs/>
          <w:color w:val="auto"/>
          <w:kern w:val="0"/>
          <w:sz w:val="24"/>
          <w:szCs w:val="24"/>
          <w:highlight w:val="none"/>
          <w:lang w:eastAsia="zh-CN"/>
        </w:rPr>
        <w:t>的资格条件</w:t>
      </w:r>
    </w:p>
    <w:p>
      <w:pPr>
        <w:spacing w:line="360" w:lineRule="auto"/>
        <w:jc w:val="center"/>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t>中小企业声明函（服务）</w:t>
      </w:r>
    </w:p>
    <w:p>
      <w:pPr>
        <w:spacing w:line="360" w:lineRule="auto"/>
        <w:jc w:val="center"/>
        <w:rPr>
          <w:rFonts w:hint="eastAsia" w:ascii="宋体" w:hAnsi="宋体" w:eastAsia="宋体" w:cs="宋体"/>
          <w:b/>
          <w:bCs/>
          <w:sz w:val="28"/>
          <w:szCs w:val="36"/>
          <w:highlight w:val="none"/>
        </w:rPr>
      </w:pPr>
      <w:r>
        <w:rPr>
          <w:rFonts w:hint="eastAsia" w:ascii="宋体" w:hAnsi="宋体" w:eastAsia="宋体" w:cs="宋体"/>
          <w:b/>
          <w:bCs/>
          <w:sz w:val="28"/>
          <w:szCs w:val="36"/>
          <w:highlight w:val="none"/>
        </w:rPr>
        <w:t>（如适用）</w:t>
      </w:r>
    </w:p>
    <w:p>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号）的规定，本公司参加</w:t>
      </w:r>
      <w:r>
        <w:rPr>
          <w:rFonts w:hint="eastAsia" w:ascii="宋体" w:hAnsi="宋体" w:eastAsia="宋体" w:cs="宋体"/>
          <w:sz w:val="24"/>
          <w:highlight w:val="none"/>
          <w:u w:val="single"/>
        </w:rPr>
        <w:t>（单位名称）</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采购活动，服务全部由符合政策要求的中小企业承接。相关企业的具体情况如下：</w:t>
      </w:r>
    </w:p>
    <w:p>
      <w:pPr>
        <w:widowControl/>
        <w:numPr>
          <w:ilvl w:val="0"/>
          <w:numId w:val="6"/>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（科学研究和技术服务业）</w:t>
      </w:r>
      <w:r>
        <w:rPr>
          <w:rFonts w:hint="eastAsia" w:ascii="宋体" w:hAnsi="宋体" w:eastAsia="宋体" w:cs="宋体"/>
          <w:sz w:val="24"/>
          <w:highlight w:val="none"/>
        </w:rPr>
        <w:t>；承接企业为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w:t>
      </w:r>
    </w:p>
    <w:p>
      <w:pPr>
        <w:widowControl/>
        <w:numPr>
          <w:ilvl w:val="0"/>
          <w:numId w:val="6"/>
        </w:num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（标的名称）</w:t>
      </w:r>
      <w:r>
        <w:rPr>
          <w:rFonts w:hint="eastAsia" w:ascii="宋体" w:hAnsi="宋体" w:eastAsia="宋体" w:cs="宋体"/>
          <w:sz w:val="24"/>
          <w:highlight w:val="none"/>
        </w:rPr>
        <w:t>，属于</w:t>
      </w:r>
      <w:r>
        <w:rPr>
          <w:rFonts w:hint="eastAsia" w:ascii="宋体" w:hAnsi="宋体" w:eastAsia="宋体" w:cs="宋体"/>
          <w:sz w:val="24"/>
          <w:highlight w:val="none"/>
          <w:u w:val="single"/>
        </w:rPr>
        <w:t xml:space="preserve"> （科学研究和技术服务业）</w:t>
      </w:r>
      <w:r>
        <w:rPr>
          <w:rFonts w:hint="eastAsia" w:ascii="宋体" w:hAnsi="宋体" w:eastAsia="宋体" w:cs="宋体"/>
          <w:sz w:val="24"/>
          <w:highlight w:val="none"/>
        </w:rPr>
        <w:t>；承接企业为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w:t>
      </w:r>
    </w:p>
    <w:p>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w:t>
      </w:r>
    </w:p>
    <w:p>
      <w:pPr>
        <w:widowControl/>
        <w:spacing w:line="360" w:lineRule="auto"/>
        <w:ind w:firstLine="5760" w:firstLineChars="2400"/>
        <w:rPr>
          <w:rFonts w:hint="eastAsia" w:ascii="宋体" w:hAnsi="宋体" w:eastAsia="宋体" w:cs="宋体"/>
          <w:sz w:val="24"/>
          <w:highlight w:val="none"/>
        </w:rPr>
      </w:pPr>
      <w:r>
        <w:rPr>
          <w:rFonts w:hint="eastAsia" w:ascii="宋体" w:hAnsi="宋体" w:eastAsia="宋体" w:cs="宋体"/>
          <w:sz w:val="24"/>
          <w:highlight w:val="none"/>
        </w:rPr>
        <w:t>企业名称（盖章）：</w:t>
      </w:r>
    </w:p>
    <w:p>
      <w:pPr>
        <w:widowControl/>
        <w:spacing w:line="360" w:lineRule="auto"/>
        <w:ind w:firstLine="5760" w:firstLineChars="24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sz w:val="24"/>
          <w:highlight w:val="none"/>
        </w:rPr>
        <w:t>日 期：</w:t>
      </w:r>
      <w:r>
        <w:rPr>
          <w:rFonts w:hint="eastAsia" w:ascii="宋体" w:hAnsi="宋体" w:eastAsia="宋体" w:cs="宋体"/>
          <w:bCs/>
          <w:color w:val="000000" w:themeColor="text1"/>
          <w:sz w:val="24"/>
          <w:highlight w:val="none"/>
          <w14:textFill>
            <w14:solidFill>
              <w14:schemeClr w14:val="tx1"/>
            </w14:solidFill>
          </w14:textFill>
        </w:rPr>
        <w:t xml:space="preserve">    年  月  日</w:t>
      </w:r>
    </w:p>
    <w:p>
      <w:pPr>
        <w:widowControl/>
        <w:spacing w:line="360" w:lineRule="auto"/>
        <w:ind w:firstLine="5760" w:firstLineChars="2400"/>
        <w:rPr>
          <w:rFonts w:hint="eastAsia" w:ascii="宋体" w:hAnsi="宋体" w:eastAsia="宋体" w:cs="宋体"/>
          <w:sz w:val="24"/>
          <w:highlight w:val="none"/>
        </w:rPr>
      </w:pPr>
    </w:p>
    <w:p>
      <w:pPr>
        <w:widowControl/>
        <w:spacing w:line="480" w:lineRule="auto"/>
        <w:ind w:firstLine="480" w:firstLineChars="200"/>
        <w:rPr>
          <w:rFonts w:hint="eastAsia" w:ascii="宋体" w:hAnsi="宋体" w:eastAsia="宋体" w:cs="宋体"/>
          <w:sz w:val="24"/>
          <w:highlight w:val="none"/>
        </w:rPr>
      </w:pPr>
    </w:p>
    <w:p>
      <w:pPr>
        <w:widowControl/>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注：从业人员、营业收入、资产总额填报上一年度数据，无上一年度数据的新成立企业可不填报。</w:t>
      </w:r>
    </w:p>
    <w:p>
      <w:pPr>
        <w:pStyle w:val="27"/>
        <w:spacing w:line="440" w:lineRule="exact"/>
        <w:jc w:val="center"/>
        <w:rPr>
          <w:rFonts w:hint="eastAsia" w:ascii="宋体" w:hAnsi="宋体" w:eastAsia="宋体" w:cs="宋体"/>
          <w:b/>
          <w:color w:val="000000" w:themeColor="text1"/>
          <w:sz w:val="28"/>
          <w:szCs w:val="28"/>
          <w:highlight w:val="none"/>
          <w14:textFill>
            <w14:solidFill>
              <w14:schemeClr w14:val="tx1"/>
            </w14:solidFill>
          </w14:textFill>
        </w:rPr>
      </w:pPr>
    </w:p>
    <w:p>
      <w:pPr>
        <w:spacing w:line="360" w:lineRule="auto"/>
        <w:ind w:firstLine="480" w:firstLineChars="200"/>
        <w:rPr>
          <w:rFonts w:hint="eastAsia" w:ascii="宋体" w:hAnsi="宋体" w:eastAsia="宋体" w:cs="宋体"/>
          <w:sz w:val="24"/>
          <w:szCs w:val="24"/>
        </w:rPr>
      </w:pPr>
    </w:p>
    <w:p>
      <w:pPr>
        <w:spacing w:line="600" w:lineRule="exact"/>
        <w:rPr>
          <w:rFonts w:hint="eastAsia" w:ascii="宋体" w:hAnsi="宋体" w:eastAsia="宋体" w:cs="宋体"/>
        </w:rPr>
      </w:pPr>
    </w:p>
    <w:p>
      <w:pPr>
        <w:spacing w:line="600" w:lineRule="exact"/>
        <w:rPr>
          <w:rFonts w:hint="eastAsia" w:ascii="宋体" w:hAnsi="宋体" w:eastAsia="宋体" w:cs="宋体"/>
        </w:rPr>
      </w:pPr>
    </w:p>
    <w:p>
      <w:pPr>
        <w:rPr>
          <w:rFonts w:hint="eastAsia" w:ascii="宋体" w:hAnsi="宋体" w:eastAsia="宋体" w:cs="宋体"/>
          <w:b/>
          <w:sz w:val="24"/>
          <w:szCs w:val="24"/>
          <w:lang w:eastAsia="zh-CN"/>
        </w:rPr>
      </w:pPr>
      <w:r>
        <w:rPr>
          <w:rFonts w:hint="eastAsia" w:ascii="宋体" w:hAnsi="宋体" w:eastAsia="宋体" w:cs="宋体"/>
          <w:b/>
          <w:sz w:val="24"/>
          <w:szCs w:val="24"/>
          <w:lang w:eastAsia="zh-CN"/>
        </w:rPr>
        <w:br w:type="page"/>
      </w:r>
    </w:p>
    <w:p>
      <w:pPr>
        <w:pStyle w:val="3"/>
        <w:numPr>
          <w:ilvl w:val="0"/>
          <w:numId w:val="0"/>
        </w:numPr>
        <w:snapToGrid w:val="0"/>
        <w:spacing w:line="360" w:lineRule="auto"/>
        <w:rPr>
          <w:rFonts w:hint="eastAsia" w:ascii="宋体" w:hAnsi="宋体" w:eastAsia="宋体" w:cs="宋体"/>
          <w:b/>
          <w:sz w:val="24"/>
          <w:szCs w:val="24"/>
          <w:lang w:eastAsia="zh-CN"/>
        </w:rPr>
      </w:pPr>
      <w:r>
        <w:rPr>
          <w:rFonts w:hint="eastAsia" w:ascii="宋体" w:hAnsi="宋体" w:eastAsia="宋体" w:cs="宋体"/>
          <w:b/>
          <w:sz w:val="24"/>
          <w:szCs w:val="24"/>
          <w:lang w:eastAsia="zh-CN"/>
        </w:rPr>
        <w:t>（八）本项目要求的其他特定资格条件</w:t>
      </w:r>
    </w:p>
    <w:p>
      <w:pPr>
        <w:spacing w:line="276" w:lineRule="auto"/>
        <w:rPr>
          <w:rFonts w:hint="eastAsia" w:ascii="宋体" w:hAnsi="宋体" w:eastAsia="宋体" w:cs="宋体"/>
          <w:b/>
          <w:szCs w:val="21"/>
        </w:rPr>
      </w:pPr>
    </w:p>
    <w:p>
      <w:pPr>
        <w:widowControl/>
        <w:jc w:val="left"/>
        <w:rPr>
          <w:rFonts w:hint="eastAsia" w:ascii="宋体" w:hAnsi="宋体" w:eastAsia="宋体" w:cs="宋体"/>
          <w:b/>
          <w:szCs w:val="21"/>
        </w:rPr>
      </w:pPr>
      <w:r>
        <w:rPr>
          <w:rFonts w:hint="eastAsia" w:ascii="宋体" w:hAnsi="宋体" w:eastAsia="宋体" w:cs="宋体"/>
          <w:b/>
          <w:szCs w:val="21"/>
        </w:rPr>
        <w:br w:type="page"/>
      </w:r>
    </w:p>
    <w:p>
      <w:pPr>
        <w:spacing w:line="276" w:lineRule="auto"/>
        <w:rPr>
          <w:rFonts w:hint="eastAsia" w:ascii="宋体" w:hAnsi="宋体" w:eastAsia="宋体" w:cs="宋体"/>
          <w:b/>
          <w:szCs w:val="21"/>
        </w:rPr>
      </w:pPr>
    </w:p>
    <w:p>
      <w:pPr>
        <w:rPr>
          <w:rFonts w:hint="eastAsia" w:ascii="宋体" w:hAnsi="宋体" w:eastAsia="宋体" w:cs="宋体"/>
          <w:b/>
          <w:sz w:val="24"/>
        </w:rPr>
      </w:pPr>
      <w:bookmarkStart w:id="100" w:name="_Toc10049_WPSOffice_Level1"/>
      <w:r>
        <w:rPr>
          <w:rFonts w:hint="eastAsia" w:ascii="宋体" w:hAnsi="宋体" w:eastAsia="宋体" w:cs="宋体"/>
          <w:b/>
          <w:spacing w:val="20"/>
          <w:sz w:val="24"/>
        </w:rPr>
        <w:t>响应文件</w:t>
      </w:r>
      <w:r>
        <w:rPr>
          <w:rFonts w:hint="eastAsia" w:ascii="宋体" w:hAnsi="宋体" w:eastAsia="宋体" w:cs="宋体"/>
          <w:b/>
          <w:sz w:val="24"/>
        </w:rPr>
        <w:t>封面及目录格式</w:t>
      </w:r>
      <w:bookmarkEnd w:id="100"/>
    </w:p>
    <w:p>
      <w:pPr>
        <w:jc w:val="right"/>
        <w:rPr>
          <w:rFonts w:hint="eastAsia" w:ascii="宋体" w:hAnsi="宋体" w:eastAsia="宋体" w:cs="宋体"/>
          <w:szCs w:val="21"/>
        </w:rPr>
      </w:pPr>
    </w:p>
    <w:p>
      <w:pPr>
        <w:jc w:val="center"/>
        <w:rPr>
          <w:rFonts w:hint="eastAsia" w:ascii="宋体" w:hAnsi="宋体" w:eastAsia="宋体" w:cs="宋体"/>
          <w:szCs w:val="21"/>
        </w:rPr>
      </w:pPr>
    </w:p>
    <w:p>
      <w:pPr>
        <w:jc w:val="center"/>
        <w:rPr>
          <w:rFonts w:hint="eastAsia" w:ascii="宋体" w:hAnsi="宋体" w:eastAsia="宋体" w:cs="宋体"/>
          <w:b/>
          <w:spacing w:val="60"/>
          <w:sz w:val="84"/>
          <w:szCs w:val="84"/>
        </w:rPr>
      </w:pPr>
    </w:p>
    <w:p>
      <w:pPr>
        <w:jc w:val="center"/>
        <w:rPr>
          <w:rFonts w:hint="eastAsia" w:ascii="宋体" w:hAnsi="宋体" w:eastAsia="宋体" w:cs="宋体"/>
          <w:b/>
          <w:spacing w:val="60"/>
          <w:sz w:val="84"/>
          <w:szCs w:val="84"/>
        </w:rPr>
      </w:pPr>
      <w:bookmarkStart w:id="101" w:name="_Toc2095_WPSOffice_Level2"/>
      <w:r>
        <w:rPr>
          <w:rFonts w:hint="eastAsia" w:ascii="宋体" w:hAnsi="宋体" w:eastAsia="宋体" w:cs="宋体"/>
          <w:b/>
          <w:spacing w:val="60"/>
          <w:sz w:val="84"/>
          <w:szCs w:val="84"/>
        </w:rPr>
        <w:t>响 应 文 件</w:t>
      </w:r>
      <w:bookmarkEnd w:id="101"/>
    </w:p>
    <w:p>
      <w:pPr>
        <w:ind w:firstLine="1967" w:firstLineChars="350"/>
        <w:rPr>
          <w:rFonts w:hint="eastAsia" w:ascii="宋体" w:hAnsi="宋体" w:eastAsia="宋体" w:cs="宋体"/>
          <w:b/>
          <w:spacing w:val="20"/>
          <w:sz w:val="52"/>
          <w:szCs w:val="52"/>
        </w:rPr>
      </w:pPr>
      <w:r>
        <w:rPr>
          <w:rFonts w:hint="eastAsia" w:ascii="宋体" w:hAnsi="宋体" w:eastAsia="宋体" w:cs="宋体"/>
          <w:b/>
          <w:spacing w:val="20"/>
          <w:sz w:val="52"/>
          <w:szCs w:val="52"/>
        </w:rPr>
        <w:t>（商务技术文件）</w:t>
      </w:r>
    </w:p>
    <w:p>
      <w:pPr>
        <w:ind w:firstLine="542" w:firstLineChars="150"/>
        <w:rPr>
          <w:rFonts w:hint="eastAsia" w:ascii="宋体" w:hAnsi="宋体" w:eastAsia="宋体" w:cs="宋体"/>
          <w:b/>
          <w:spacing w:val="20"/>
          <w:sz w:val="32"/>
          <w:szCs w:val="32"/>
        </w:rPr>
      </w:pPr>
    </w:p>
    <w:p>
      <w:pPr>
        <w:ind w:left="420" w:leftChars="0" w:firstLine="723" w:firstLineChars="200"/>
        <w:rPr>
          <w:rFonts w:hint="eastAsia" w:ascii="宋体" w:hAnsi="宋体" w:eastAsia="宋体" w:cs="宋体"/>
          <w:b/>
          <w:spacing w:val="20"/>
          <w:sz w:val="32"/>
          <w:szCs w:val="32"/>
        </w:rPr>
      </w:pPr>
      <w:r>
        <w:rPr>
          <w:rFonts w:hint="eastAsia" w:ascii="宋体" w:hAnsi="宋体" w:eastAsia="宋体" w:cs="宋体"/>
          <w:b/>
          <w:spacing w:val="20"/>
          <w:sz w:val="32"/>
          <w:szCs w:val="32"/>
        </w:rPr>
        <w:t>项目名称:</w:t>
      </w:r>
    </w:p>
    <w:p>
      <w:pPr>
        <w:spacing w:line="276" w:lineRule="auto"/>
        <w:ind w:left="0" w:leftChars="0" w:firstLine="1062" w:firstLineChars="294"/>
        <w:rPr>
          <w:rFonts w:hint="eastAsia" w:ascii="宋体" w:hAnsi="宋体" w:eastAsia="宋体" w:cs="宋体"/>
          <w:b/>
          <w:szCs w:val="21"/>
          <w:lang w:eastAsia="zh-CN"/>
        </w:rPr>
      </w:pPr>
      <w:r>
        <w:rPr>
          <w:rFonts w:hint="eastAsia" w:ascii="宋体" w:hAnsi="宋体" w:eastAsia="宋体" w:cs="宋体"/>
          <w:b/>
          <w:spacing w:val="20"/>
          <w:sz w:val="32"/>
          <w:szCs w:val="32"/>
          <w:lang w:eastAsia="zh-CN"/>
        </w:rPr>
        <w:t>项目编号：</w:t>
      </w: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spacing w:line="276" w:lineRule="auto"/>
        <w:rPr>
          <w:rFonts w:hint="eastAsia" w:ascii="宋体" w:hAnsi="宋体" w:eastAsia="宋体" w:cs="宋体"/>
          <w:b/>
          <w:szCs w:val="21"/>
        </w:rPr>
      </w:pPr>
    </w:p>
    <w:p>
      <w:pPr>
        <w:jc w:val="center"/>
        <w:rPr>
          <w:rFonts w:hint="eastAsia" w:ascii="宋体" w:hAnsi="宋体" w:eastAsia="宋体" w:cs="宋体"/>
          <w:b/>
          <w:spacing w:val="20"/>
          <w:sz w:val="32"/>
          <w:szCs w:val="32"/>
        </w:rPr>
      </w:pPr>
      <w:r>
        <w:rPr>
          <w:rFonts w:hint="eastAsia" w:ascii="宋体" w:hAnsi="宋体" w:eastAsia="宋体" w:cs="宋体"/>
          <w:b/>
          <w:spacing w:val="20"/>
          <w:sz w:val="32"/>
          <w:szCs w:val="32"/>
        </w:rPr>
        <w:t>磋商供应商单位名称：（电子签章）</w:t>
      </w:r>
    </w:p>
    <w:p>
      <w:pPr>
        <w:jc w:val="center"/>
        <w:rPr>
          <w:rFonts w:hint="eastAsia" w:ascii="宋体" w:hAnsi="宋体" w:eastAsia="宋体" w:cs="宋体"/>
          <w:b/>
          <w:sz w:val="32"/>
          <w:szCs w:val="32"/>
        </w:rPr>
      </w:pPr>
      <w:r>
        <w:rPr>
          <w:rFonts w:hint="eastAsia" w:ascii="宋体" w:hAnsi="宋体" w:eastAsia="宋体" w:cs="宋体"/>
          <w:b/>
          <w:sz w:val="32"/>
          <w:szCs w:val="32"/>
        </w:rPr>
        <w:t>二〇二   年  月   日</w:t>
      </w:r>
    </w:p>
    <w:p>
      <w:pPr>
        <w:pStyle w:val="61"/>
        <w:snapToGrid w:val="0"/>
        <w:spacing w:line="480" w:lineRule="exact"/>
        <w:ind w:firstLine="723" w:firstLineChars="200"/>
        <w:rPr>
          <w:rFonts w:hint="eastAsia" w:ascii="宋体" w:hAnsi="宋体" w:eastAsia="宋体" w:cs="宋体"/>
          <w:b/>
          <w:spacing w:val="20"/>
          <w:sz w:val="32"/>
          <w:szCs w:val="32"/>
        </w:rPr>
      </w:pPr>
      <w:r>
        <w:rPr>
          <w:rFonts w:hint="eastAsia" w:ascii="宋体" w:hAnsi="宋体" w:eastAsia="宋体" w:cs="宋体"/>
          <w:b/>
          <w:spacing w:val="20"/>
          <w:sz w:val="32"/>
          <w:szCs w:val="32"/>
        </w:rPr>
        <w:br w:type="page"/>
      </w:r>
    </w:p>
    <w:p>
      <w:pPr>
        <w:spacing w:line="360" w:lineRule="auto"/>
        <w:jc w:val="center"/>
        <w:rPr>
          <w:rFonts w:hint="eastAsia" w:ascii="宋体" w:hAnsi="宋体" w:eastAsia="宋体" w:cs="宋体"/>
          <w:b/>
          <w:sz w:val="24"/>
          <w:szCs w:val="24"/>
        </w:rPr>
      </w:pPr>
      <w:r>
        <w:rPr>
          <w:rFonts w:hint="eastAsia" w:ascii="宋体" w:hAnsi="宋体" w:eastAsia="宋体" w:cs="宋体"/>
          <w:b/>
          <w:sz w:val="28"/>
          <w:szCs w:val="28"/>
        </w:rPr>
        <w:t>商务技术文件</w:t>
      </w:r>
    </w:p>
    <w:p>
      <w:pPr>
        <w:spacing w:line="360" w:lineRule="auto"/>
        <w:ind w:firstLine="4007" w:firstLineChars="1663"/>
        <w:rPr>
          <w:rFonts w:hint="eastAsia" w:ascii="宋体" w:hAnsi="宋体" w:eastAsia="宋体" w:cs="宋体"/>
          <w:b/>
          <w:sz w:val="24"/>
          <w:szCs w:val="24"/>
        </w:rPr>
      </w:pPr>
      <w:r>
        <w:rPr>
          <w:rFonts w:hint="eastAsia" w:ascii="宋体" w:hAnsi="宋体" w:eastAsia="宋体" w:cs="宋体"/>
          <w:b/>
          <w:sz w:val="24"/>
          <w:szCs w:val="24"/>
        </w:rPr>
        <w:t>目    录</w:t>
      </w:r>
    </w:p>
    <w:p>
      <w:pPr>
        <w:pStyle w:val="3"/>
        <w:snapToGrid w:val="0"/>
        <w:spacing w:line="360" w:lineRule="auto"/>
        <w:rPr>
          <w:rFonts w:hint="eastAsia" w:ascii="宋体" w:hAnsi="宋体" w:eastAsia="宋体" w:cs="宋体"/>
          <w:kern w:val="0"/>
          <w:sz w:val="24"/>
          <w:szCs w:val="24"/>
        </w:rPr>
      </w:pPr>
    </w:p>
    <w:p>
      <w:pPr>
        <w:pStyle w:val="3"/>
        <w:snapToGrid w:val="0"/>
        <w:spacing w:line="360" w:lineRule="auto"/>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1、报价一览表</w:t>
      </w:r>
    </w:p>
    <w:p>
      <w:pPr>
        <w:pStyle w:val="3"/>
        <w:snapToGrid w:val="0"/>
        <w:spacing w:line="360" w:lineRule="auto"/>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2、供应商同类合同案例及相关证明资料</w:t>
      </w:r>
    </w:p>
    <w:p>
      <w:pPr>
        <w:pStyle w:val="3"/>
        <w:snapToGrid w:val="0"/>
        <w:spacing w:line="360" w:lineRule="auto"/>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3、项目管理机构配备</w:t>
      </w:r>
    </w:p>
    <w:p>
      <w:pPr>
        <w:pStyle w:val="3"/>
        <w:snapToGrid w:val="0"/>
        <w:spacing w:line="360" w:lineRule="auto"/>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4、商务技术服务偏离表</w:t>
      </w:r>
    </w:p>
    <w:p>
      <w:pPr>
        <w:pStyle w:val="3"/>
        <w:snapToGrid w:val="0"/>
        <w:spacing w:line="360" w:lineRule="auto"/>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5、本项目总体实施方案</w:t>
      </w:r>
    </w:p>
    <w:p>
      <w:pPr>
        <w:pStyle w:val="3"/>
        <w:snapToGrid w:val="0"/>
        <w:spacing w:line="360" w:lineRule="auto"/>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r>
        <w:rPr>
          <w:rFonts w:hint="eastAsia" w:ascii="宋体" w:hAnsi="宋体" w:eastAsia="宋体" w:cs="宋体"/>
          <w:spacing w:val="10"/>
          <w:sz w:val="24"/>
          <w:szCs w:val="24"/>
          <w:highlight w:val="none"/>
          <w:lang w:eastAsia="zh-CN"/>
        </w:rPr>
        <w:t>供应</w:t>
      </w:r>
      <w:r>
        <w:rPr>
          <w:rFonts w:hint="eastAsia" w:ascii="宋体" w:hAnsi="宋体" w:eastAsia="宋体" w:cs="宋体"/>
          <w:spacing w:val="10"/>
          <w:sz w:val="24"/>
          <w:szCs w:val="24"/>
          <w:highlight w:val="none"/>
        </w:rPr>
        <w:t>商认为需要提供的其他</w:t>
      </w:r>
      <w:r>
        <w:rPr>
          <w:rFonts w:hint="eastAsia" w:ascii="宋体" w:hAnsi="宋体" w:eastAsia="宋体" w:cs="宋体"/>
          <w:spacing w:val="10"/>
          <w:sz w:val="24"/>
          <w:szCs w:val="24"/>
          <w:highlight w:val="none"/>
          <w:lang w:eastAsia="zh-CN"/>
        </w:rPr>
        <w:t>商务、</w:t>
      </w:r>
      <w:r>
        <w:rPr>
          <w:rFonts w:hint="eastAsia" w:ascii="宋体" w:hAnsi="宋体" w:eastAsia="宋体" w:cs="宋体"/>
          <w:spacing w:val="10"/>
          <w:sz w:val="24"/>
          <w:szCs w:val="24"/>
          <w:highlight w:val="none"/>
        </w:rPr>
        <w:t>技术材料</w:t>
      </w:r>
    </w:p>
    <w:p>
      <w:pPr>
        <w:pStyle w:val="3"/>
        <w:snapToGrid w:val="0"/>
        <w:spacing w:line="360" w:lineRule="auto"/>
        <w:ind w:firstLine="480"/>
        <w:rPr>
          <w:rFonts w:hint="eastAsia" w:ascii="宋体" w:hAnsi="宋体" w:eastAsia="宋体" w:cs="宋体"/>
          <w:kern w:val="0"/>
          <w:sz w:val="24"/>
          <w:szCs w:val="24"/>
        </w:rPr>
      </w:pPr>
    </w:p>
    <w:p>
      <w:pPr>
        <w:pStyle w:val="3"/>
        <w:snapToGrid w:val="0"/>
        <w:spacing w:line="360" w:lineRule="auto"/>
        <w:ind w:firstLine="480" w:firstLineChars="200"/>
        <w:rPr>
          <w:rFonts w:hint="eastAsia" w:ascii="宋体" w:hAnsi="宋体" w:eastAsia="宋体" w:cs="宋体"/>
          <w:kern w:val="0"/>
          <w:sz w:val="24"/>
          <w:szCs w:val="24"/>
        </w:rPr>
      </w:pPr>
    </w:p>
    <w:p>
      <w:pPr>
        <w:pStyle w:val="3"/>
        <w:snapToGrid w:val="0"/>
        <w:spacing w:line="360" w:lineRule="auto"/>
        <w:ind w:firstLine="480" w:firstLineChars="200"/>
        <w:rPr>
          <w:rFonts w:hint="eastAsia" w:ascii="宋体" w:hAnsi="宋体" w:eastAsia="宋体" w:cs="宋体"/>
          <w:kern w:val="0"/>
          <w:sz w:val="24"/>
          <w:szCs w:val="24"/>
        </w:rPr>
      </w:pPr>
    </w:p>
    <w:p>
      <w:pPr>
        <w:pStyle w:val="3"/>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说明：供应商/投标人在制作电子响应文件/投标文件时，在投标文件构成页签下，若某一节点无对应文档，则该节点无需上传内容，系统在该节点界面</w:t>
      </w:r>
      <w:r>
        <w:rPr>
          <w:rFonts w:hint="eastAsia" w:ascii="宋体" w:hAnsi="宋体" w:eastAsia="宋体" w:cs="宋体"/>
          <w:sz w:val="24"/>
          <w:szCs w:val="24"/>
        </w:rPr>
        <w:t>会显示空白，此为正常情况。</w:t>
      </w:r>
    </w:p>
    <w:p>
      <w:pPr>
        <w:pStyle w:val="3"/>
        <w:snapToGrid w:val="0"/>
        <w:spacing w:line="360" w:lineRule="auto"/>
        <w:ind w:firstLine="480" w:firstLineChars="200"/>
        <w:rPr>
          <w:rFonts w:hint="eastAsia" w:ascii="宋体" w:hAnsi="宋体" w:eastAsia="宋体" w:cs="宋体"/>
          <w:sz w:val="24"/>
          <w:szCs w:val="24"/>
        </w:rPr>
      </w:pPr>
    </w:p>
    <w:p>
      <w:pPr>
        <w:pStyle w:val="3"/>
        <w:snapToGrid w:val="0"/>
        <w:spacing w:line="360" w:lineRule="auto"/>
        <w:ind w:firstLine="480" w:firstLineChars="200"/>
        <w:rPr>
          <w:rFonts w:hint="eastAsia" w:ascii="宋体" w:hAnsi="宋体" w:eastAsia="宋体" w:cs="宋体"/>
          <w:sz w:val="24"/>
          <w:szCs w:val="24"/>
        </w:rPr>
      </w:pPr>
    </w:p>
    <w:p>
      <w:pPr>
        <w:pStyle w:val="3"/>
        <w:snapToGrid w:val="0"/>
        <w:spacing w:line="360" w:lineRule="auto"/>
        <w:ind w:firstLine="480" w:firstLineChars="200"/>
        <w:rPr>
          <w:rFonts w:hint="eastAsia" w:ascii="宋体" w:hAnsi="宋体" w:eastAsia="宋体" w:cs="宋体"/>
          <w:sz w:val="24"/>
          <w:szCs w:val="24"/>
        </w:rPr>
      </w:pPr>
    </w:p>
    <w:p>
      <w:pPr>
        <w:pStyle w:val="3"/>
        <w:snapToGrid w:val="0"/>
        <w:spacing w:line="360" w:lineRule="auto"/>
        <w:ind w:firstLine="480" w:firstLineChars="200"/>
        <w:rPr>
          <w:rFonts w:hint="eastAsia" w:ascii="宋体" w:hAnsi="宋体" w:eastAsia="宋体" w:cs="宋体"/>
          <w:sz w:val="24"/>
          <w:szCs w:val="24"/>
        </w:rPr>
      </w:pPr>
    </w:p>
    <w:p>
      <w:pPr>
        <w:pStyle w:val="3"/>
        <w:snapToGrid w:val="0"/>
        <w:spacing w:line="360" w:lineRule="auto"/>
        <w:ind w:firstLine="480" w:firstLineChars="200"/>
        <w:rPr>
          <w:rFonts w:hint="eastAsia" w:ascii="宋体" w:hAnsi="宋体" w:eastAsia="宋体" w:cs="宋体"/>
          <w:sz w:val="24"/>
          <w:szCs w:val="24"/>
        </w:rPr>
      </w:pPr>
    </w:p>
    <w:p>
      <w:pPr>
        <w:pStyle w:val="3"/>
        <w:snapToGrid w:val="0"/>
        <w:spacing w:line="360" w:lineRule="auto"/>
        <w:ind w:firstLine="480" w:firstLineChars="200"/>
        <w:rPr>
          <w:rFonts w:hint="eastAsia" w:ascii="宋体" w:hAnsi="宋体" w:eastAsia="宋体" w:cs="宋体"/>
          <w:sz w:val="24"/>
          <w:szCs w:val="24"/>
        </w:rPr>
      </w:pPr>
    </w:p>
    <w:p>
      <w:pPr>
        <w:pStyle w:val="3"/>
        <w:snapToGrid w:val="0"/>
        <w:spacing w:line="360" w:lineRule="auto"/>
        <w:ind w:firstLine="480" w:firstLineChars="200"/>
        <w:rPr>
          <w:rFonts w:hint="eastAsia" w:ascii="宋体" w:hAnsi="宋体" w:eastAsia="宋体" w:cs="宋体"/>
          <w:sz w:val="24"/>
          <w:szCs w:val="24"/>
        </w:rPr>
      </w:pPr>
    </w:p>
    <w:p>
      <w:pPr>
        <w:pStyle w:val="3"/>
        <w:snapToGrid w:val="0"/>
        <w:spacing w:line="360" w:lineRule="auto"/>
        <w:ind w:firstLine="480" w:firstLineChars="200"/>
        <w:rPr>
          <w:rFonts w:hint="eastAsia" w:ascii="宋体" w:hAnsi="宋体" w:eastAsia="宋体" w:cs="宋体"/>
          <w:sz w:val="24"/>
          <w:szCs w:val="24"/>
        </w:rPr>
      </w:pPr>
    </w:p>
    <w:p>
      <w:pPr>
        <w:widowControl/>
        <w:jc w:val="left"/>
        <w:rPr>
          <w:rFonts w:hint="eastAsia" w:ascii="宋体" w:hAnsi="宋体" w:eastAsia="宋体" w:cs="宋体"/>
          <w:b/>
          <w:sz w:val="24"/>
          <w:szCs w:val="24"/>
          <w:lang w:bidi="ar"/>
        </w:rPr>
      </w:pPr>
      <w:r>
        <w:rPr>
          <w:rFonts w:hint="eastAsia" w:ascii="宋体" w:hAnsi="宋体" w:eastAsia="宋体" w:cs="宋体"/>
          <w:b/>
          <w:sz w:val="24"/>
          <w:szCs w:val="24"/>
          <w:lang w:bidi="ar"/>
        </w:rPr>
        <w:br w:type="page"/>
      </w:r>
    </w:p>
    <w:p>
      <w:pPr>
        <w:pStyle w:val="6"/>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lang w:bidi="ar"/>
        </w:rPr>
        <w:t>（</w:t>
      </w:r>
      <w:r>
        <w:rPr>
          <w:rFonts w:hint="eastAsia" w:ascii="宋体" w:hAnsi="宋体" w:eastAsia="宋体" w:cs="宋体"/>
          <w:b/>
          <w:sz w:val="24"/>
          <w:szCs w:val="24"/>
          <w:highlight w:val="none"/>
          <w:lang w:val="en-US" w:eastAsia="zh-CN" w:bidi="ar"/>
        </w:rPr>
        <w:t>一</w:t>
      </w:r>
      <w:r>
        <w:rPr>
          <w:rFonts w:hint="eastAsia" w:ascii="宋体" w:hAnsi="宋体" w:eastAsia="宋体" w:cs="宋体"/>
          <w:b/>
          <w:sz w:val="24"/>
          <w:szCs w:val="24"/>
          <w:highlight w:val="none"/>
          <w:lang w:bidi="ar"/>
        </w:rPr>
        <w:t>）</w:t>
      </w:r>
      <w:r>
        <w:rPr>
          <w:rFonts w:hint="eastAsia" w:ascii="宋体" w:hAnsi="宋体" w:eastAsia="宋体" w:cs="宋体"/>
          <w:color w:val="auto"/>
          <w:sz w:val="24"/>
          <w:szCs w:val="24"/>
          <w:highlight w:val="none"/>
        </w:rPr>
        <w:t>报价一览表格式</w:t>
      </w:r>
    </w:p>
    <w:p>
      <w:pPr>
        <w:tabs>
          <w:tab w:val="left" w:pos="630"/>
        </w:tabs>
        <w:spacing w:after="227" w:afterLines="73" w:line="480" w:lineRule="exact"/>
        <w:jc w:val="center"/>
        <w:rPr>
          <w:rFonts w:hint="eastAsia" w:ascii="宋体" w:hAnsi="宋体" w:eastAsia="宋体" w:cs="宋体"/>
          <w:bCs/>
          <w:color w:val="auto"/>
          <w:sz w:val="24"/>
          <w:szCs w:val="24"/>
          <w:highlight w:val="none"/>
        </w:rPr>
      </w:pPr>
      <w:r>
        <w:rPr>
          <w:rFonts w:hint="eastAsia" w:ascii="宋体" w:hAnsi="宋体" w:eastAsia="宋体" w:cs="宋体"/>
          <w:b/>
          <w:snapToGrid w:val="0"/>
          <w:color w:val="auto"/>
          <w:sz w:val="24"/>
          <w:szCs w:val="24"/>
          <w:highlight w:val="none"/>
        </w:rPr>
        <w:t>报价一览表</w:t>
      </w:r>
    </w:p>
    <w:p>
      <w:pPr>
        <w:pStyle w:val="76"/>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p>
    <w:p>
      <w:pPr>
        <w:pStyle w:val="76"/>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项目编号：    </w:t>
      </w:r>
      <w:r>
        <w:rPr>
          <w:rFonts w:hint="eastAsia" w:ascii="宋体" w:hAnsi="宋体" w:eastAsia="宋体" w:cs="宋体"/>
          <w:color w:val="auto"/>
          <w:sz w:val="24"/>
          <w:szCs w:val="24"/>
          <w:highlight w:val="none"/>
          <w:u w:val="single"/>
        </w:rPr>
        <w:t xml:space="preserve">                                   </w:t>
      </w:r>
    </w:p>
    <w:p>
      <w:pPr>
        <w:pStyle w:val="76"/>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76"/>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单位：人民币元</w:t>
      </w:r>
    </w:p>
    <w:tbl>
      <w:tblPr>
        <w:tblStyle w:val="32"/>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jc w:val="center"/>
        </w:trPr>
        <w:tc>
          <w:tcPr>
            <w:tcW w:w="1665" w:type="dxa"/>
            <w:vAlign w:val="center"/>
          </w:tcPr>
          <w:p>
            <w:pPr>
              <w:pStyle w:val="76"/>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w:t>
            </w:r>
          </w:p>
        </w:tc>
        <w:tc>
          <w:tcPr>
            <w:tcW w:w="7834" w:type="dxa"/>
            <w:vAlign w:val="center"/>
          </w:tcPr>
          <w:p>
            <w:pPr>
              <w:pStyle w:val="76"/>
              <w:spacing w:line="300" w:lineRule="exact"/>
              <w:rPr>
                <w:rFonts w:hint="eastAsia" w:ascii="宋体" w:hAnsi="宋体" w:eastAsia="宋体" w:cs="宋体"/>
                <w:bCs/>
                <w:color w:val="auto"/>
                <w:sz w:val="24"/>
                <w:szCs w:val="24"/>
                <w:highlight w:val="none"/>
                <w:vertAlign w:val="superscript"/>
              </w:rPr>
            </w:pPr>
            <w:r>
              <w:rPr>
                <w:rFonts w:hint="eastAsia" w:ascii="宋体" w:hAnsi="宋体" w:eastAsia="宋体" w:cs="宋体"/>
                <w:bCs/>
                <w:color w:val="auto"/>
                <w:sz w:val="24"/>
                <w:szCs w:val="24"/>
                <w:highlight w:val="none"/>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665" w:type="dxa"/>
            <w:vAlign w:val="center"/>
          </w:tcPr>
          <w:p>
            <w:pPr>
              <w:pStyle w:val="76"/>
              <w:spacing w:line="30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合同履行期限</w:t>
            </w:r>
          </w:p>
        </w:tc>
        <w:tc>
          <w:tcPr>
            <w:tcW w:w="7834" w:type="dxa"/>
            <w:vAlign w:val="center"/>
          </w:tcPr>
          <w:p>
            <w:pPr>
              <w:pStyle w:val="76"/>
              <w:spacing w:line="300" w:lineRule="exact"/>
              <w:jc w:val="center"/>
              <w:rPr>
                <w:rFonts w:hint="eastAsia" w:ascii="宋体" w:hAnsi="宋体" w:eastAsia="宋体" w:cs="宋体"/>
                <w:bCs/>
                <w:color w:val="auto"/>
                <w:sz w:val="24"/>
                <w:szCs w:val="24"/>
                <w:highlight w:val="none"/>
                <w:vertAlign w:val="superscript"/>
              </w:rPr>
            </w:pPr>
          </w:p>
        </w:tc>
      </w:tr>
    </w:tbl>
    <w:p>
      <w:pPr>
        <w:ind w:firstLine="482" w:firstLineChars="200"/>
        <w:rPr>
          <w:rFonts w:hint="eastAsia" w:ascii="宋体" w:hAnsi="宋体" w:eastAsia="宋体" w:cs="宋体"/>
          <w:b/>
          <w:bCs/>
          <w:color w:val="auto"/>
          <w:sz w:val="24"/>
          <w:szCs w:val="24"/>
          <w:highlight w:val="none"/>
        </w:rPr>
      </w:pPr>
    </w:p>
    <w:p>
      <w:pPr>
        <w:spacing w:line="440" w:lineRule="exact"/>
        <w:ind w:firstLine="2400" w:firstLineChars="1000"/>
        <w:rPr>
          <w:rFonts w:hint="eastAsia" w:ascii="宋体" w:hAnsi="宋体" w:eastAsia="宋体" w:cs="宋体"/>
          <w:color w:val="auto"/>
          <w:sz w:val="24"/>
          <w:szCs w:val="24"/>
          <w:highlight w:val="none"/>
        </w:rPr>
      </w:pPr>
    </w:p>
    <w:p>
      <w:pPr>
        <w:spacing w:line="440" w:lineRule="exact"/>
        <w:ind w:firstLine="2400" w:firstLineChars="10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pPr>
        <w:spacing w:line="440" w:lineRule="exact"/>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法定代表人或供应商代表：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napToGrid w:val="0"/>
        <w:spacing w:line="44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pStyle w:val="77"/>
        <w:rPr>
          <w:rFonts w:hint="eastAsia" w:ascii="宋体" w:hAnsi="宋体" w:eastAsia="宋体" w:cs="宋体"/>
          <w:sz w:val="24"/>
          <w:szCs w:val="24"/>
          <w:highlight w:val="none"/>
          <w:lang w:val="en-US" w:eastAsia="zh-CN"/>
        </w:rPr>
      </w:pPr>
    </w:p>
    <w:p>
      <w:pPr>
        <w:pStyle w:val="6"/>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lang w:eastAsia="zh-CN"/>
        </w:rPr>
        <w:t>）</w:t>
      </w:r>
      <w:r>
        <w:rPr>
          <w:rFonts w:hint="eastAsia" w:ascii="宋体" w:hAnsi="宋体" w:eastAsia="宋体" w:cs="宋体"/>
          <w:b/>
          <w:sz w:val="24"/>
          <w:szCs w:val="24"/>
          <w:highlight w:val="none"/>
          <w:lang w:bidi="ar"/>
        </w:rPr>
        <w:t>供应商同类合同案例及相关证明资料</w:t>
      </w:r>
    </w:p>
    <w:p>
      <w:pPr>
        <w:pStyle w:val="57"/>
        <w:snapToGrid w:val="0"/>
        <w:spacing w:line="420" w:lineRule="auto"/>
        <w:jc w:val="both"/>
        <w:rPr>
          <w:rFonts w:hint="eastAsia" w:ascii="宋体" w:hAnsi="宋体" w:eastAsia="宋体" w:cs="宋体"/>
          <w:color w:val="auto"/>
          <w:spacing w:val="20"/>
          <w:kern w:val="0"/>
          <w:sz w:val="24"/>
          <w:szCs w:val="24"/>
          <w:highlight w:val="none"/>
        </w:rPr>
      </w:pPr>
    </w:p>
    <w:p>
      <w:pPr>
        <w:tabs>
          <w:tab w:val="left" w:pos="2131"/>
        </w:tabs>
        <w:snapToGrid w:val="0"/>
        <w:spacing w:line="30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tabs>
          <w:tab w:val="left" w:pos="2131"/>
        </w:tabs>
        <w:snapToGrid w:val="0"/>
        <w:spacing w:line="30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bl>
      <w:tblPr>
        <w:tblStyle w:val="3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050"/>
        <w:gridCol w:w="1742"/>
        <w:gridCol w:w="1743"/>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vAlign w:val="center"/>
          </w:tcPr>
          <w:p>
            <w:pPr>
              <w:widowControl/>
              <w:tabs>
                <w:tab w:val="left" w:pos="2131"/>
              </w:tabs>
              <w:snapToGrid w:val="0"/>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050" w:type="dxa"/>
            <w:vAlign w:val="center"/>
          </w:tcPr>
          <w:p>
            <w:pPr>
              <w:widowControl/>
              <w:tabs>
                <w:tab w:val="left" w:pos="2131"/>
              </w:tabs>
              <w:snapToGrid w:val="0"/>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1742" w:type="dxa"/>
            <w:vAlign w:val="center"/>
          </w:tcPr>
          <w:p>
            <w:pPr>
              <w:widowControl/>
              <w:tabs>
                <w:tab w:val="left" w:pos="2131"/>
              </w:tabs>
              <w:snapToGrid w:val="0"/>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w:t>
            </w:r>
          </w:p>
        </w:tc>
        <w:tc>
          <w:tcPr>
            <w:tcW w:w="1743" w:type="dxa"/>
            <w:vAlign w:val="center"/>
          </w:tcPr>
          <w:p>
            <w:pPr>
              <w:widowControl/>
              <w:tabs>
                <w:tab w:val="left" w:pos="2131"/>
              </w:tabs>
              <w:snapToGrid w:val="0"/>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采购时间</w:t>
            </w:r>
          </w:p>
        </w:tc>
        <w:tc>
          <w:tcPr>
            <w:tcW w:w="1765" w:type="dxa"/>
            <w:vAlign w:val="center"/>
          </w:tcPr>
          <w:p>
            <w:pPr>
              <w:widowControl/>
              <w:tabs>
                <w:tab w:val="left" w:pos="2131"/>
              </w:tabs>
              <w:snapToGrid w:val="0"/>
              <w:spacing w:line="30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hint="eastAsia" w:ascii="宋体" w:hAnsi="宋体" w:eastAsia="宋体" w:cs="宋体"/>
                <w:color w:val="auto"/>
                <w:kern w:val="0"/>
                <w:sz w:val="24"/>
                <w:szCs w:val="24"/>
                <w:highlight w:val="none"/>
              </w:rPr>
            </w:pPr>
          </w:p>
        </w:tc>
        <w:tc>
          <w:tcPr>
            <w:tcW w:w="2050" w:type="dxa"/>
          </w:tcPr>
          <w:p>
            <w:pPr>
              <w:widowControl/>
              <w:tabs>
                <w:tab w:val="left" w:pos="2131"/>
              </w:tabs>
              <w:snapToGrid w:val="0"/>
              <w:spacing w:line="300" w:lineRule="auto"/>
              <w:rPr>
                <w:rFonts w:hint="eastAsia" w:ascii="宋体" w:hAnsi="宋体" w:eastAsia="宋体" w:cs="宋体"/>
                <w:color w:val="auto"/>
                <w:kern w:val="0"/>
                <w:sz w:val="24"/>
                <w:szCs w:val="24"/>
                <w:highlight w:val="none"/>
              </w:rPr>
            </w:pPr>
          </w:p>
        </w:tc>
        <w:tc>
          <w:tcPr>
            <w:tcW w:w="1742" w:type="dxa"/>
          </w:tcPr>
          <w:p>
            <w:pPr>
              <w:widowControl/>
              <w:tabs>
                <w:tab w:val="left" w:pos="2131"/>
              </w:tabs>
              <w:snapToGrid w:val="0"/>
              <w:spacing w:line="300" w:lineRule="auto"/>
              <w:rPr>
                <w:rFonts w:hint="eastAsia" w:ascii="宋体" w:hAnsi="宋体" w:eastAsia="宋体" w:cs="宋体"/>
                <w:color w:val="auto"/>
                <w:kern w:val="0"/>
                <w:sz w:val="24"/>
                <w:szCs w:val="24"/>
                <w:highlight w:val="none"/>
              </w:rPr>
            </w:pPr>
          </w:p>
        </w:tc>
        <w:tc>
          <w:tcPr>
            <w:tcW w:w="1743" w:type="dxa"/>
          </w:tcPr>
          <w:p>
            <w:pPr>
              <w:widowControl/>
              <w:tabs>
                <w:tab w:val="left" w:pos="2131"/>
              </w:tabs>
              <w:snapToGrid w:val="0"/>
              <w:spacing w:line="300" w:lineRule="auto"/>
              <w:rPr>
                <w:rFonts w:hint="eastAsia" w:ascii="宋体" w:hAnsi="宋体" w:eastAsia="宋体" w:cs="宋体"/>
                <w:color w:val="auto"/>
                <w:kern w:val="0"/>
                <w:sz w:val="24"/>
                <w:szCs w:val="24"/>
                <w:highlight w:val="none"/>
              </w:rPr>
            </w:pPr>
          </w:p>
        </w:tc>
        <w:tc>
          <w:tcPr>
            <w:tcW w:w="1765" w:type="dxa"/>
          </w:tcPr>
          <w:p>
            <w:pPr>
              <w:widowControl/>
              <w:tabs>
                <w:tab w:val="left" w:pos="2131"/>
              </w:tabs>
              <w:snapToGrid w:val="0"/>
              <w:spacing w:line="300" w:lineRule="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2050"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2"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3"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65"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2050"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2"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3"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65"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2050"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2"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3"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65"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2050"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2"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3"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65"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2050"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2"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3"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65"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2050"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2"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3"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65"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2050"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2"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3"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65"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2050"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2"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43"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c>
          <w:tcPr>
            <w:tcW w:w="1765" w:type="dxa"/>
          </w:tcPr>
          <w:p>
            <w:pPr>
              <w:widowControl/>
              <w:tabs>
                <w:tab w:val="left" w:pos="2131"/>
              </w:tabs>
              <w:snapToGrid w:val="0"/>
              <w:spacing w:line="300" w:lineRule="auto"/>
              <w:rPr>
                <w:rFonts w:hint="eastAsia" w:ascii="宋体" w:hAnsi="宋体" w:eastAsia="宋体" w:cs="宋体"/>
                <w:color w:val="auto"/>
                <w:spacing w:val="20"/>
                <w:kern w:val="0"/>
                <w:sz w:val="24"/>
                <w:szCs w:val="24"/>
                <w:highlight w:val="none"/>
              </w:rPr>
            </w:pPr>
          </w:p>
        </w:tc>
      </w:tr>
    </w:tbl>
    <w:p>
      <w:pPr>
        <w:rPr>
          <w:rFonts w:hint="eastAsia" w:ascii="宋体" w:hAnsi="宋体" w:eastAsia="宋体" w:cs="宋体"/>
          <w:color w:val="auto"/>
          <w:sz w:val="24"/>
          <w:szCs w:val="24"/>
          <w:highlight w:val="none"/>
        </w:rPr>
      </w:pPr>
    </w:p>
    <w:p>
      <w:pPr>
        <w:spacing w:line="360" w:lineRule="auto"/>
        <w:ind w:left="761" w:leftChars="133" w:hanging="482" w:hanging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备注：本表后附合同协议书，要求必须提供与最终用户签订的合同首页、服务事项（内容）、签字盖章页扫描件的复印件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或中标通知书扫描件</w:t>
      </w:r>
      <w:r>
        <w:rPr>
          <w:rFonts w:hint="eastAsia" w:ascii="宋体" w:hAnsi="宋体" w:eastAsia="宋体" w:cs="宋体"/>
          <w:b/>
          <w:bCs/>
          <w:color w:val="auto"/>
          <w:sz w:val="24"/>
          <w:szCs w:val="24"/>
          <w:highlight w:val="none"/>
        </w:rPr>
        <w:t>，复印件须加盖供应商公章。</w:t>
      </w:r>
    </w:p>
    <w:p>
      <w:pPr>
        <w:pStyle w:val="28"/>
        <w:jc w:val="both"/>
        <w:rPr>
          <w:rFonts w:hint="eastAsia" w:ascii="宋体" w:hAnsi="宋体" w:eastAsia="宋体" w:cs="宋体"/>
          <w:color w:val="auto"/>
          <w:sz w:val="24"/>
          <w:szCs w:val="24"/>
          <w:highlight w:val="none"/>
        </w:rPr>
      </w:pPr>
    </w:p>
    <w:p>
      <w:pPr>
        <w:pStyle w:val="28"/>
        <w:jc w:val="both"/>
        <w:rPr>
          <w:rFonts w:hint="eastAsia" w:ascii="宋体" w:hAnsi="宋体" w:eastAsia="宋体" w:cs="宋体"/>
          <w:color w:val="auto"/>
          <w:sz w:val="24"/>
          <w:szCs w:val="24"/>
          <w:highlight w:val="none"/>
        </w:rPr>
      </w:pPr>
    </w:p>
    <w:p>
      <w:pPr>
        <w:spacing w:line="440" w:lineRule="exact"/>
        <w:ind w:firstLine="2400" w:firstLineChars="10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pPr>
        <w:spacing w:line="440" w:lineRule="exact"/>
        <w:ind w:firstLine="2400" w:firstLineChars="1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法定代表人（负责人）或供应商代表：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ind w:left="0" w:leftChars="0" w:firstLine="3780" w:firstLineChars="1575"/>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日  期：      年  月  日</w:t>
      </w:r>
      <w:r>
        <w:rPr>
          <w:rFonts w:hint="eastAsia" w:ascii="宋体" w:hAnsi="宋体" w:eastAsia="宋体" w:cs="宋体"/>
          <w:sz w:val="24"/>
          <w:szCs w:val="24"/>
          <w:highlight w:val="none"/>
        </w:rPr>
        <w:br w:type="page"/>
      </w:r>
    </w:p>
    <w:p>
      <w:pPr>
        <w:pStyle w:val="6"/>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t>（</w:t>
      </w:r>
      <w:r>
        <w:rPr>
          <w:rFonts w:hint="eastAsia" w:ascii="宋体" w:hAnsi="宋体" w:eastAsia="宋体" w:cs="宋体"/>
          <w:b/>
          <w:sz w:val="24"/>
          <w:szCs w:val="24"/>
          <w:highlight w:val="none"/>
          <w:lang w:val="en-US" w:eastAsia="zh-CN" w:bidi="ar"/>
        </w:rPr>
        <w:t>三</w:t>
      </w:r>
      <w:r>
        <w:rPr>
          <w:rFonts w:hint="eastAsia" w:ascii="宋体" w:hAnsi="宋体" w:eastAsia="宋体" w:cs="宋体"/>
          <w:b/>
          <w:sz w:val="24"/>
          <w:szCs w:val="24"/>
          <w:highlight w:val="none"/>
          <w:lang w:bidi="ar"/>
        </w:rPr>
        <w:t>）项目管理机构配备</w:t>
      </w:r>
    </w:p>
    <w:p>
      <w:pPr>
        <w:spacing w:line="360" w:lineRule="auto"/>
        <w:ind w:firstLine="360"/>
        <w:jc w:val="center"/>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color w:val="000000"/>
          <w:kern w:val="0"/>
          <w:sz w:val="24"/>
          <w:szCs w:val="24"/>
          <w:highlight w:val="none"/>
        </w:rPr>
        <w:t>拟投入本项目人员配备情况</w:t>
      </w:r>
    </w:p>
    <w:tbl>
      <w:tblPr>
        <w:tblStyle w:val="32"/>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172"/>
        <w:gridCol w:w="1302"/>
        <w:gridCol w:w="2148"/>
        <w:gridCol w:w="1499"/>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042"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172"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302"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2148"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在本项目担任职务</w:t>
            </w:r>
          </w:p>
        </w:tc>
        <w:tc>
          <w:tcPr>
            <w:tcW w:w="1499"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专业类别</w:t>
            </w:r>
          </w:p>
        </w:tc>
        <w:tc>
          <w:tcPr>
            <w:tcW w:w="1694" w:type="dxa"/>
            <w:vAlign w:val="center"/>
          </w:tcPr>
          <w:p>
            <w:pPr>
              <w:spacing w:line="4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42" w:type="dxa"/>
          </w:tcPr>
          <w:p>
            <w:pPr>
              <w:spacing w:line="480" w:lineRule="exact"/>
              <w:rPr>
                <w:rFonts w:hint="eastAsia" w:ascii="宋体" w:hAnsi="宋体" w:eastAsia="宋体" w:cs="宋体"/>
                <w:b/>
                <w:sz w:val="24"/>
                <w:szCs w:val="24"/>
                <w:highlight w:val="none"/>
              </w:rPr>
            </w:pPr>
          </w:p>
        </w:tc>
        <w:tc>
          <w:tcPr>
            <w:tcW w:w="1172" w:type="dxa"/>
          </w:tcPr>
          <w:p>
            <w:pPr>
              <w:spacing w:line="480" w:lineRule="exact"/>
              <w:rPr>
                <w:rFonts w:hint="eastAsia" w:ascii="宋体" w:hAnsi="宋体" w:eastAsia="宋体" w:cs="宋体"/>
                <w:b/>
                <w:sz w:val="24"/>
                <w:szCs w:val="24"/>
                <w:highlight w:val="none"/>
              </w:rPr>
            </w:pPr>
          </w:p>
        </w:tc>
        <w:tc>
          <w:tcPr>
            <w:tcW w:w="1302" w:type="dxa"/>
          </w:tcPr>
          <w:p>
            <w:pPr>
              <w:spacing w:line="480" w:lineRule="exact"/>
              <w:rPr>
                <w:rFonts w:hint="eastAsia" w:ascii="宋体" w:hAnsi="宋体" w:eastAsia="宋体" w:cs="宋体"/>
                <w:b/>
                <w:sz w:val="24"/>
                <w:szCs w:val="24"/>
                <w:highlight w:val="none"/>
              </w:rPr>
            </w:pPr>
          </w:p>
        </w:tc>
        <w:tc>
          <w:tcPr>
            <w:tcW w:w="2148" w:type="dxa"/>
          </w:tcPr>
          <w:p>
            <w:pPr>
              <w:spacing w:line="480" w:lineRule="exact"/>
              <w:rPr>
                <w:rFonts w:hint="eastAsia" w:ascii="宋体" w:hAnsi="宋体" w:eastAsia="宋体" w:cs="宋体"/>
                <w:b/>
                <w:sz w:val="24"/>
                <w:szCs w:val="24"/>
                <w:highlight w:val="none"/>
              </w:rPr>
            </w:pPr>
          </w:p>
        </w:tc>
        <w:tc>
          <w:tcPr>
            <w:tcW w:w="1499" w:type="dxa"/>
          </w:tcPr>
          <w:p>
            <w:pPr>
              <w:spacing w:line="480" w:lineRule="exact"/>
              <w:rPr>
                <w:rFonts w:hint="eastAsia" w:ascii="宋体" w:hAnsi="宋体" w:eastAsia="宋体" w:cs="宋体"/>
                <w:b/>
                <w:sz w:val="24"/>
                <w:szCs w:val="24"/>
                <w:highlight w:val="none"/>
              </w:rPr>
            </w:pPr>
          </w:p>
        </w:tc>
        <w:tc>
          <w:tcPr>
            <w:tcW w:w="1694" w:type="dxa"/>
          </w:tcPr>
          <w:p>
            <w:pPr>
              <w:spacing w:line="480" w:lineRule="exac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42" w:type="dxa"/>
          </w:tcPr>
          <w:p>
            <w:pPr>
              <w:spacing w:line="480" w:lineRule="exact"/>
              <w:rPr>
                <w:rFonts w:hint="eastAsia" w:ascii="宋体" w:hAnsi="宋体" w:eastAsia="宋体" w:cs="宋体"/>
                <w:b/>
                <w:sz w:val="24"/>
                <w:szCs w:val="24"/>
                <w:highlight w:val="none"/>
              </w:rPr>
            </w:pPr>
          </w:p>
        </w:tc>
        <w:tc>
          <w:tcPr>
            <w:tcW w:w="1172" w:type="dxa"/>
          </w:tcPr>
          <w:p>
            <w:pPr>
              <w:spacing w:line="480" w:lineRule="exact"/>
              <w:rPr>
                <w:rFonts w:hint="eastAsia" w:ascii="宋体" w:hAnsi="宋体" w:eastAsia="宋体" w:cs="宋体"/>
                <w:b/>
                <w:sz w:val="24"/>
                <w:szCs w:val="24"/>
                <w:highlight w:val="none"/>
              </w:rPr>
            </w:pPr>
          </w:p>
        </w:tc>
        <w:tc>
          <w:tcPr>
            <w:tcW w:w="1302" w:type="dxa"/>
          </w:tcPr>
          <w:p>
            <w:pPr>
              <w:spacing w:line="480" w:lineRule="exact"/>
              <w:rPr>
                <w:rFonts w:hint="eastAsia" w:ascii="宋体" w:hAnsi="宋体" w:eastAsia="宋体" w:cs="宋体"/>
                <w:b/>
                <w:sz w:val="24"/>
                <w:szCs w:val="24"/>
                <w:highlight w:val="none"/>
              </w:rPr>
            </w:pPr>
          </w:p>
        </w:tc>
        <w:tc>
          <w:tcPr>
            <w:tcW w:w="2148" w:type="dxa"/>
          </w:tcPr>
          <w:p>
            <w:pPr>
              <w:spacing w:line="480" w:lineRule="exact"/>
              <w:rPr>
                <w:rFonts w:hint="eastAsia" w:ascii="宋体" w:hAnsi="宋体" w:eastAsia="宋体" w:cs="宋体"/>
                <w:b/>
                <w:sz w:val="24"/>
                <w:szCs w:val="24"/>
                <w:highlight w:val="none"/>
              </w:rPr>
            </w:pPr>
          </w:p>
        </w:tc>
        <w:tc>
          <w:tcPr>
            <w:tcW w:w="1499" w:type="dxa"/>
          </w:tcPr>
          <w:p>
            <w:pPr>
              <w:spacing w:line="480" w:lineRule="exact"/>
              <w:rPr>
                <w:rFonts w:hint="eastAsia" w:ascii="宋体" w:hAnsi="宋体" w:eastAsia="宋体" w:cs="宋体"/>
                <w:b/>
                <w:sz w:val="24"/>
                <w:szCs w:val="24"/>
                <w:highlight w:val="none"/>
              </w:rPr>
            </w:pPr>
          </w:p>
        </w:tc>
        <w:tc>
          <w:tcPr>
            <w:tcW w:w="1694" w:type="dxa"/>
          </w:tcPr>
          <w:p>
            <w:pPr>
              <w:spacing w:line="480" w:lineRule="exac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42" w:type="dxa"/>
          </w:tcPr>
          <w:p>
            <w:pPr>
              <w:spacing w:line="480" w:lineRule="exact"/>
              <w:rPr>
                <w:rFonts w:hint="eastAsia" w:ascii="宋体" w:hAnsi="宋体" w:eastAsia="宋体" w:cs="宋体"/>
                <w:b/>
                <w:sz w:val="24"/>
                <w:szCs w:val="24"/>
                <w:highlight w:val="none"/>
              </w:rPr>
            </w:pPr>
          </w:p>
        </w:tc>
        <w:tc>
          <w:tcPr>
            <w:tcW w:w="1172" w:type="dxa"/>
          </w:tcPr>
          <w:p>
            <w:pPr>
              <w:spacing w:line="480" w:lineRule="exact"/>
              <w:rPr>
                <w:rFonts w:hint="eastAsia" w:ascii="宋体" w:hAnsi="宋体" w:eastAsia="宋体" w:cs="宋体"/>
                <w:b/>
                <w:sz w:val="24"/>
                <w:szCs w:val="24"/>
                <w:highlight w:val="none"/>
              </w:rPr>
            </w:pPr>
          </w:p>
        </w:tc>
        <w:tc>
          <w:tcPr>
            <w:tcW w:w="1302" w:type="dxa"/>
          </w:tcPr>
          <w:p>
            <w:pPr>
              <w:spacing w:line="480" w:lineRule="exact"/>
              <w:rPr>
                <w:rFonts w:hint="eastAsia" w:ascii="宋体" w:hAnsi="宋体" w:eastAsia="宋体" w:cs="宋体"/>
                <w:b/>
                <w:sz w:val="24"/>
                <w:szCs w:val="24"/>
                <w:highlight w:val="none"/>
              </w:rPr>
            </w:pPr>
          </w:p>
        </w:tc>
        <w:tc>
          <w:tcPr>
            <w:tcW w:w="2148" w:type="dxa"/>
          </w:tcPr>
          <w:p>
            <w:pPr>
              <w:spacing w:line="480" w:lineRule="exact"/>
              <w:rPr>
                <w:rFonts w:hint="eastAsia" w:ascii="宋体" w:hAnsi="宋体" w:eastAsia="宋体" w:cs="宋体"/>
                <w:b/>
                <w:sz w:val="24"/>
                <w:szCs w:val="24"/>
                <w:highlight w:val="none"/>
              </w:rPr>
            </w:pPr>
          </w:p>
        </w:tc>
        <w:tc>
          <w:tcPr>
            <w:tcW w:w="1499" w:type="dxa"/>
          </w:tcPr>
          <w:p>
            <w:pPr>
              <w:spacing w:line="480" w:lineRule="exact"/>
              <w:rPr>
                <w:rFonts w:hint="eastAsia" w:ascii="宋体" w:hAnsi="宋体" w:eastAsia="宋体" w:cs="宋体"/>
                <w:b/>
                <w:sz w:val="24"/>
                <w:szCs w:val="24"/>
                <w:highlight w:val="none"/>
              </w:rPr>
            </w:pPr>
          </w:p>
        </w:tc>
        <w:tc>
          <w:tcPr>
            <w:tcW w:w="1694" w:type="dxa"/>
          </w:tcPr>
          <w:p>
            <w:pPr>
              <w:spacing w:line="480" w:lineRule="exac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42" w:type="dxa"/>
          </w:tcPr>
          <w:p>
            <w:pPr>
              <w:spacing w:line="480" w:lineRule="exact"/>
              <w:rPr>
                <w:rFonts w:hint="eastAsia" w:ascii="宋体" w:hAnsi="宋体" w:eastAsia="宋体" w:cs="宋体"/>
                <w:b/>
                <w:sz w:val="24"/>
                <w:szCs w:val="24"/>
                <w:highlight w:val="none"/>
              </w:rPr>
            </w:pPr>
          </w:p>
        </w:tc>
        <w:tc>
          <w:tcPr>
            <w:tcW w:w="1172" w:type="dxa"/>
          </w:tcPr>
          <w:p>
            <w:pPr>
              <w:spacing w:line="480" w:lineRule="exact"/>
              <w:rPr>
                <w:rFonts w:hint="eastAsia" w:ascii="宋体" w:hAnsi="宋体" w:eastAsia="宋体" w:cs="宋体"/>
                <w:b/>
                <w:sz w:val="24"/>
                <w:szCs w:val="24"/>
                <w:highlight w:val="none"/>
              </w:rPr>
            </w:pPr>
          </w:p>
        </w:tc>
        <w:tc>
          <w:tcPr>
            <w:tcW w:w="1302" w:type="dxa"/>
          </w:tcPr>
          <w:p>
            <w:pPr>
              <w:spacing w:line="480" w:lineRule="exact"/>
              <w:rPr>
                <w:rFonts w:hint="eastAsia" w:ascii="宋体" w:hAnsi="宋体" w:eastAsia="宋体" w:cs="宋体"/>
                <w:b/>
                <w:sz w:val="24"/>
                <w:szCs w:val="24"/>
                <w:highlight w:val="none"/>
              </w:rPr>
            </w:pPr>
          </w:p>
        </w:tc>
        <w:tc>
          <w:tcPr>
            <w:tcW w:w="2148" w:type="dxa"/>
          </w:tcPr>
          <w:p>
            <w:pPr>
              <w:spacing w:line="480" w:lineRule="exact"/>
              <w:rPr>
                <w:rFonts w:hint="eastAsia" w:ascii="宋体" w:hAnsi="宋体" w:eastAsia="宋体" w:cs="宋体"/>
                <w:b/>
                <w:sz w:val="24"/>
                <w:szCs w:val="24"/>
                <w:highlight w:val="none"/>
              </w:rPr>
            </w:pPr>
          </w:p>
        </w:tc>
        <w:tc>
          <w:tcPr>
            <w:tcW w:w="1499" w:type="dxa"/>
          </w:tcPr>
          <w:p>
            <w:pPr>
              <w:spacing w:line="480" w:lineRule="exact"/>
              <w:rPr>
                <w:rFonts w:hint="eastAsia" w:ascii="宋体" w:hAnsi="宋体" w:eastAsia="宋体" w:cs="宋体"/>
                <w:b/>
                <w:sz w:val="24"/>
                <w:szCs w:val="24"/>
                <w:highlight w:val="none"/>
              </w:rPr>
            </w:pPr>
          </w:p>
        </w:tc>
        <w:tc>
          <w:tcPr>
            <w:tcW w:w="1694" w:type="dxa"/>
          </w:tcPr>
          <w:p>
            <w:pPr>
              <w:spacing w:line="480" w:lineRule="exac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42" w:type="dxa"/>
          </w:tcPr>
          <w:p>
            <w:pPr>
              <w:spacing w:line="480" w:lineRule="exact"/>
              <w:rPr>
                <w:rFonts w:hint="eastAsia" w:ascii="宋体" w:hAnsi="宋体" w:eastAsia="宋体" w:cs="宋体"/>
                <w:b/>
                <w:sz w:val="24"/>
                <w:szCs w:val="24"/>
                <w:highlight w:val="none"/>
              </w:rPr>
            </w:pPr>
          </w:p>
        </w:tc>
        <w:tc>
          <w:tcPr>
            <w:tcW w:w="1172" w:type="dxa"/>
          </w:tcPr>
          <w:p>
            <w:pPr>
              <w:spacing w:line="480" w:lineRule="exact"/>
              <w:rPr>
                <w:rFonts w:hint="eastAsia" w:ascii="宋体" w:hAnsi="宋体" w:eastAsia="宋体" w:cs="宋体"/>
                <w:b/>
                <w:sz w:val="24"/>
                <w:szCs w:val="24"/>
                <w:highlight w:val="none"/>
              </w:rPr>
            </w:pPr>
          </w:p>
        </w:tc>
        <w:tc>
          <w:tcPr>
            <w:tcW w:w="1302" w:type="dxa"/>
          </w:tcPr>
          <w:p>
            <w:pPr>
              <w:spacing w:line="480" w:lineRule="exact"/>
              <w:rPr>
                <w:rFonts w:hint="eastAsia" w:ascii="宋体" w:hAnsi="宋体" w:eastAsia="宋体" w:cs="宋体"/>
                <w:b/>
                <w:sz w:val="24"/>
                <w:szCs w:val="24"/>
                <w:highlight w:val="none"/>
              </w:rPr>
            </w:pPr>
          </w:p>
        </w:tc>
        <w:tc>
          <w:tcPr>
            <w:tcW w:w="2148" w:type="dxa"/>
          </w:tcPr>
          <w:p>
            <w:pPr>
              <w:spacing w:line="480" w:lineRule="exact"/>
              <w:rPr>
                <w:rFonts w:hint="eastAsia" w:ascii="宋体" w:hAnsi="宋体" w:eastAsia="宋体" w:cs="宋体"/>
                <w:b/>
                <w:sz w:val="24"/>
                <w:szCs w:val="24"/>
                <w:highlight w:val="none"/>
              </w:rPr>
            </w:pPr>
          </w:p>
        </w:tc>
        <w:tc>
          <w:tcPr>
            <w:tcW w:w="1499" w:type="dxa"/>
          </w:tcPr>
          <w:p>
            <w:pPr>
              <w:spacing w:line="480" w:lineRule="exact"/>
              <w:rPr>
                <w:rFonts w:hint="eastAsia" w:ascii="宋体" w:hAnsi="宋体" w:eastAsia="宋体" w:cs="宋体"/>
                <w:b/>
                <w:sz w:val="24"/>
                <w:szCs w:val="24"/>
                <w:highlight w:val="none"/>
              </w:rPr>
            </w:pPr>
          </w:p>
        </w:tc>
        <w:tc>
          <w:tcPr>
            <w:tcW w:w="1694" w:type="dxa"/>
          </w:tcPr>
          <w:p>
            <w:pPr>
              <w:spacing w:line="480" w:lineRule="exac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42" w:type="dxa"/>
          </w:tcPr>
          <w:p>
            <w:pPr>
              <w:spacing w:line="480" w:lineRule="exact"/>
              <w:rPr>
                <w:rFonts w:hint="eastAsia" w:ascii="宋体" w:hAnsi="宋体" w:eastAsia="宋体" w:cs="宋体"/>
                <w:b/>
                <w:sz w:val="24"/>
                <w:szCs w:val="24"/>
                <w:highlight w:val="none"/>
              </w:rPr>
            </w:pPr>
          </w:p>
        </w:tc>
        <w:tc>
          <w:tcPr>
            <w:tcW w:w="1172" w:type="dxa"/>
          </w:tcPr>
          <w:p>
            <w:pPr>
              <w:spacing w:line="480" w:lineRule="exact"/>
              <w:rPr>
                <w:rFonts w:hint="eastAsia" w:ascii="宋体" w:hAnsi="宋体" w:eastAsia="宋体" w:cs="宋体"/>
                <w:b/>
                <w:sz w:val="24"/>
                <w:szCs w:val="24"/>
                <w:highlight w:val="none"/>
              </w:rPr>
            </w:pPr>
          </w:p>
        </w:tc>
        <w:tc>
          <w:tcPr>
            <w:tcW w:w="1302" w:type="dxa"/>
          </w:tcPr>
          <w:p>
            <w:pPr>
              <w:spacing w:line="480" w:lineRule="exact"/>
              <w:rPr>
                <w:rFonts w:hint="eastAsia" w:ascii="宋体" w:hAnsi="宋体" w:eastAsia="宋体" w:cs="宋体"/>
                <w:b/>
                <w:sz w:val="24"/>
                <w:szCs w:val="24"/>
                <w:highlight w:val="none"/>
              </w:rPr>
            </w:pPr>
          </w:p>
        </w:tc>
        <w:tc>
          <w:tcPr>
            <w:tcW w:w="2148" w:type="dxa"/>
          </w:tcPr>
          <w:p>
            <w:pPr>
              <w:spacing w:line="480" w:lineRule="exact"/>
              <w:rPr>
                <w:rFonts w:hint="eastAsia" w:ascii="宋体" w:hAnsi="宋体" w:eastAsia="宋体" w:cs="宋体"/>
                <w:b/>
                <w:sz w:val="24"/>
                <w:szCs w:val="24"/>
                <w:highlight w:val="none"/>
              </w:rPr>
            </w:pPr>
          </w:p>
        </w:tc>
        <w:tc>
          <w:tcPr>
            <w:tcW w:w="1499" w:type="dxa"/>
          </w:tcPr>
          <w:p>
            <w:pPr>
              <w:spacing w:line="480" w:lineRule="exact"/>
              <w:rPr>
                <w:rFonts w:hint="eastAsia" w:ascii="宋体" w:hAnsi="宋体" w:eastAsia="宋体" w:cs="宋体"/>
                <w:b/>
                <w:sz w:val="24"/>
                <w:szCs w:val="24"/>
                <w:highlight w:val="none"/>
              </w:rPr>
            </w:pPr>
          </w:p>
        </w:tc>
        <w:tc>
          <w:tcPr>
            <w:tcW w:w="1694" w:type="dxa"/>
          </w:tcPr>
          <w:p>
            <w:pPr>
              <w:spacing w:line="480" w:lineRule="exac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42" w:type="dxa"/>
          </w:tcPr>
          <w:p>
            <w:pPr>
              <w:spacing w:line="480" w:lineRule="exact"/>
              <w:rPr>
                <w:rFonts w:hint="eastAsia" w:ascii="宋体" w:hAnsi="宋体" w:eastAsia="宋体" w:cs="宋体"/>
                <w:b/>
                <w:sz w:val="24"/>
                <w:szCs w:val="24"/>
                <w:highlight w:val="none"/>
              </w:rPr>
            </w:pPr>
          </w:p>
        </w:tc>
        <w:tc>
          <w:tcPr>
            <w:tcW w:w="1172" w:type="dxa"/>
          </w:tcPr>
          <w:p>
            <w:pPr>
              <w:spacing w:line="480" w:lineRule="exact"/>
              <w:rPr>
                <w:rFonts w:hint="eastAsia" w:ascii="宋体" w:hAnsi="宋体" w:eastAsia="宋体" w:cs="宋体"/>
                <w:b/>
                <w:sz w:val="24"/>
                <w:szCs w:val="24"/>
                <w:highlight w:val="none"/>
              </w:rPr>
            </w:pPr>
          </w:p>
        </w:tc>
        <w:tc>
          <w:tcPr>
            <w:tcW w:w="1302" w:type="dxa"/>
          </w:tcPr>
          <w:p>
            <w:pPr>
              <w:spacing w:line="480" w:lineRule="exact"/>
              <w:rPr>
                <w:rFonts w:hint="eastAsia" w:ascii="宋体" w:hAnsi="宋体" w:eastAsia="宋体" w:cs="宋体"/>
                <w:b/>
                <w:sz w:val="24"/>
                <w:szCs w:val="24"/>
                <w:highlight w:val="none"/>
              </w:rPr>
            </w:pPr>
          </w:p>
        </w:tc>
        <w:tc>
          <w:tcPr>
            <w:tcW w:w="2148" w:type="dxa"/>
          </w:tcPr>
          <w:p>
            <w:pPr>
              <w:spacing w:line="480" w:lineRule="exact"/>
              <w:rPr>
                <w:rFonts w:hint="eastAsia" w:ascii="宋体" w:hAnsi="宋体" w:eastAsia="宋体" w:cs="宋体"/>
                <w:b/>
                <w:sz w:val="24"/>
                <w:szCs w:val="24"/>
                <w:highlight w:val="none"/>
              </w:rPr>
            </w:pPr>
          </w:p>
        </w:tc>
        <w:tc>
          <w:tcPr>
            <w:tcW w:w="1499" w:type="dxa"/>
          </w:tcPr>
          <w:p>
            <w:pPr>
              <w:spacing w:line="480" w:lineRule="exact"/>
              <w:rPr>
                <w:rFonts w:hint="eastAsia" w:ascii="宋体" w:hAnsi="宋体" w:eastAsia="宋体" w:cs="宋体"/>
                <w:b/>
                <w:sz w:val="24"/>
                <w:szCs w:val="24"/>
                <w:highlight w:val="none"/>
              </w:rPr>
            </w:pPr>
          </w:p>
        </w:tc>
        <w:tc>
          <w:tcPr>
            <w:tcW w:w="1694" w:type="dxa"/>
          </w:tcPr>
          <w:p>
            <w:pPr>
              <w:spacing w:line="480" w:lineRule="exac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42" w:type="dxa"/>
          </w:tcPr>
          <w:p>
            <w:pPr>
              <w:spacing w:line="480" w:lineRule="exact"/>
              <w:rPr>
                <w:rFonts w:hint="eastAsia" w:ascii="宋体" w:hAnsi="宋体" w:eastAsia="宋体" w:cs="宋体"/>
                <w:b/>
                <w:sz w:val="24"/>
                <w:szCs w:val="24"/>
                <w:highlight w:val="none"/>
              </w:rPr>
            </w:pPr>
          </w:p>
        </w:tc>
        <w:tc>
          <w:tcPr>
            <w:tcW w:w="1172" w:type="dxa"/>
          </w:tcPr>
          <w:p>
            <w:pPr>
              <w:spacing w:line="480" w:lineRule="exact"/>
              <w:rPr>
                <w:rFonts w:hint="eastAsia" w:ascii="宋体" w:hAnsi="宋体" w:eastAsia="宋体" w:cs="宋体"/>
                <w:b/>
                <w:sz w:val="24"/>
                <w:szCs w:val="24"/>
                <w:highlight w:val="none"/>
              </w:rPr>
            </w:pPr>
          </w:p>
        </w:tc>
        <w:tc>
          <w:tcPr>
            <w:tcW w:w="1302" w:type="dxa"/>
          </w:tcPr>
          <w:p>
            <w:pPr>
              <w:spacing w:line="480" w:lineRule="exact"/>
              <w:rPr>
                <w:rFonts w:hint="eastAsia" w:ascii="宋体" w:hAnsi="宋体" w:eastAsia="宋体" w:cs="宋体"/>
                <w:b/>
                <w:sz w:val="24"/>
                <w:szCs w:val="24"/>
                <w:highlight w:val="none"/>
              </w:rPr>
            </w:pPr>
          </w:p>
        </w:tc>
        <w:tc>
          <w:tcPr>
            <w:tcW w:w="2148" w:type="dxa"/>
          </w:tcPr>
          <w:p>
            <w:pPr>
              <w:spacing w:line="480" w:lineRule="exact"/>
              <w:rPr>
                <w:rFonts w:hint="eastAsia" w:ascii="宋体" w:hAnsi="宋体" w:eastAsia="宋体" w:cs="宋体"/>
                <w:b/>
                <w:sz w:val="24"/>
                <w:szCs w:val="24"/>
                <w:highlight w:val="none"/>
              </w:rPr>
            </w:pPr>
          </w:p>
        </w:tc>
        <w:tc>
          <w:tcPr>
            <w:tcW w:w="1499" w:type="dxa"/>
          </w:tcPr>
          <w:p>
            <w:pPr>
              <w:spacing w:line="480" w:lineRule="exact"/>
              <w:rPr>
                <w:rFonts w:hint="eastAsia" w:ascii="宋体" w:hAnsi="宋体" w:eastAsia="宋体" w:cs="宋体"/>
                <w:b/>
                <w:sz w:val="24"/>
                <w:szCs w:val="24"/>
                <w:highlight w:val="none"/>
              </w:rPr>
            </w:pPr>
          </w:p>
        </w:tc>
        <w:tc>
          <w:tcPr>
            <w:tcW w:w="1694" w:type="dxa"/>
          </w:tcPr>
          <w:p>
            <w:pPr>
              <w:spacing w:line="480" w:lineRule="exact"/>
              <w:rPr>
                <w:rFonts w:hint="eastAsia" w:ascii="宋体" w:hAnsi="宋体" w:eastAsia="宋体" w:cs="宋体"/>
                <w:b/>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42" w:type="dxa"/>
          </w:tcPr>
          <w:p>
            <w:pPr>
              <w:spacing w:line="480" w:lineRule="exact"/>
              <w:rPr>
                <w:rFonts w:hint="eastAsia" w:ascii="宋体" w:hAnsi="宋体" w:eastAsia="宋体" w:cs="宋体"/>
                <w:b/>
                <w:sz w:val="24"/>
                <w:szCs w:val="24"/>
                <w:highlight w:val="none"/>
              </w:rPr>
            </w:pPr>
          </w:p>
        </w:tc>
        <w:tc>
          <w:tcPr>
            <w:tcW w:w="1172" w:type="dxa"/>
          </w:tcPr>
          <w:p>
            <w:pPr>
              <w:spacing w:line="480" w:lineRule="exact"/>
              <w:rPr>
                <w:rFonts w:hint="eastAsia" w:ascii="宋体" w:hAnsi="宋体" w:eastAsia="宋体" w:cs="宋体"/>
                <w:b/>
                <w:sz w:val="24"/>
                <w:szCs w:val="24"/>
                <w:highlight w:val="none"/>
              </w:rPr>
            </w:pPr>
          </w:p>
        </w:tc>
        <w:tc>
          <w:tcPr>
            <w:tcW w:w="1302" w:type="dxa"/>
          </w:tcPr>
          <w:p>
            <w:pPr>
              <w:spacing w:line="480" w:lineRule="exact"/>
              <w:rPr>
                <w:rFonts w:hint="eastAsia" w:ascii="宋体" w:hAnsi="宋体" w:eastAsia="宋体" w:cs="宋体"/>
                <w:b/>
                <w:sz w:val="24"/>
                <w:szCs w:val="24"/>
                <w:highlight w:val="none"/>
              </w:rPr>
            </w:pPr>
          </w:p>
        </w:tc>
        <w:tc>
          <w:tcPr>
            <w:tcW w:w="2148" w:type="dxa"/>
          </w:tcPr>
          <w:p>
            <w:pPr>
              <w:spacing w:line="480" w:lineRule="exact"/>
              <w:rPr>
                <w:rFonts w:hint="eastAsia" w:ascii="宋体" w:hAnsi="宋体" w:eastAsia="宋体" w:cs="宋体"/>
                <w:b/>
                <w:sz w:val="24"/>
                <w:szCs w:val="24"/>
                <w:highlight w:val="none"/>
              </w:rPr>
            </w:pPr>
          </w:p>
        </w:tc>
        <w:tc>
          <w:tcPr>
            <w:tcW w:w="1499" w:type="dxa"/>
          </w:tcPr>
          <w:p>
            <w:pPr>
              <w:spacing w:line="480" w:lineRule="exact"/>
              <w:rPr>
                <w:rFonts w:hint="eastAsia" w:ascii="宋体" w:hAnsi="宋体" w:eastAsia="宋体" w:cs="宋体"/>
                <w:b/>
                <w:sz w:val="24"/>
                <w:szCs w:val="24"/>
                <w:highlight w:val="none"/>
              </w:rPr>
            </w:pPr>
          </w:p>
        </w:tc>
        <w:tc>
          <w:tcPr>
            <w:tcW w:w="1694" w:type="dxa"/>
          </w:tcPr>
          <w:p>
            <w:pPr>
              <w:spacing w:line="480" w:lineRule="exact"/>
              <w:rPr>
                <w:rFonts w:hint="eastAsia" w:ascii="宋体" w:hAnsi="宋体" w:eastAsia="宋体" w:cs="宋体"/>
                <w:b/>
                <w:sz w:val="24"/>
                <w:szCs w:val="24"/>
                <w:highlight w:val="none"/>
              </w:rPr>
            </w:pPr>
          </w:p>
        </w:tc>
      </w:tr>
    </w:tbl>
    <w:p>
      <w:pPr>
        <w:spacing w:before="120" w:beforeLines="50" w:after="240" w:afterLines="100" w:line="420" w:lineRule="exact"/>
        <w:jc w:val="center"/>
        <w:rPr>
          <w:rFonts w:hint="eastAsia" w:ascii="宋体" w:hAnsi="宋体" w:eastAsia="宋体" w:cs="宋体"/>
          <w:b/>
          <w:sz w:val="24"/>
          <w:szCs w:val="24"/>
          <w:highlight w:val="none"/>
        </w:rPr>
      </w:pPr>
    </w:p>
    <w:p>
      <w:pPr>
        <w:spacing w:before="120" w:beforeLines="50" w:after="240" w:afterLines="100" w:line="420" w:lineRule="exact"/>
        <w:jc w:val="center"/>
        <w:rPr>
          <w:rFonts w:hint="eastAsia" w:ascii="宋体" w:hAnsi="宋体" w:eastAsia="宋体" w:cs="宋体"/>
          <w:b/>
          <w:sz w:val="24"/>
          <w:szCs w:val="24"/>
          <w:highlight w:val="none"/>
        </w:rPr>
      </w:pPr>
    </w:p>
    <w:p>
      <w:pPr>
        <w:spacing w:before="120" w:beforeLines="50" w:after="240" w:afterLines="100" w:line="420" w:lineRule="exact"/>
        <w:jc w:val="center"/>
        <w:rPr>
          <w:rFonts w:hint="eastAsia" w:ascii="宋体" w:hAnsi="宋体" w:eastAsia="宋体" w:cs="宋体"/>
          <w:b/>
          <w:sz w:val="24"/>
          <w:szCs w:val="24"/>
          <w:highlight w:val="none"/>
        </w:rPr>
      </w:pPr>
    </w:p>
    <w:p>
      <w:pPr>
        <w:spacing w:before="120" w:beforeLines="50" w:after="240" w:afterLines="100" w:line="420" w:lineRule="exact"/>
        <w:jc w:val="center"/>
        <w:rPr>
          <w:rFonts w:hint="eastAsia" w:ascii="宋体" w:hAnsi="宋体" w:eastAsia="宋体" w:cs="宋体"/>
          <w:b/>
          <w:sz w:val="24"/>
          <w:szCs w:val="24"/>
          <w:highlight w:val="none"/>
        </w:rPr>
      </w:pP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spacing w:before="120" w:beforeLines="50" w:after="240" w:afterLines="100" w:line="42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（2）项目负责人简历表</w:t>
      </w:r>
    </w:p>
    <w:tbl>
      <w:tblPr>
        <w:tblStyle w:val="32"/>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565"/>
        <w:gridCol w:w="211"/>
        <w:gridCol w:w="773"/>
        <w:gridCol w:w="1130"/>
        <w:gridCol w:w="421"/>
        <w:gridCol w:w="1549"/>
        <w:gridCol w:w="565"/>
        <w:gridCol w:w="984"/>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54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155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参加工作时间</w:t>
            </w:r>
          </w:p>
        </w:tc>
        <w:tc>
          <w:tcPr>
            <w:tcW w:w="697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毕业院校、专业</w:t>
            </w:r>
          </w:p>
        </w:tc>
        <w:tc>
          <w:tcPr>
            <w:tcW w:w="697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298"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在建和近三年已完成项目情况（2020年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时间</w:t>
            </w: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2535" w:type="dxa"/>
            <w:gridSpan w:val="3"/>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担任职务</w:t>
            </w:r>
          </w:p>
        </w:tc>
        <w:tc>
          <w:tcPr>
            <w:tcW w:w="2535" w:type="dxa"/>
            <w:gridSpan w:val="2"/>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招标人及联系电话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1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11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3"/>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c>
          <w:tcPr>
            <w:tcW w:w="2535" w:type="dxa"/>
            <w:gridSpan w:val="2"/>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highlight w:val="none"/>
              </w:rPr>
            </w:pPr>
          </w:p>
        </w:tc>
      </w:tr>
    </w:tbl>
    <w:p>
      <w:pPr>
        <w:pStyle w:val="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本表后附项目负责人资质证书、证件复印件</w:t>
      </w:r>
    </w:p>
    <w:p>
      <w:pPr>
        <w:pStyle w:val="3"/>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业绩证明材料需附</w:t>
      </w:r>
      <w:r>
        <w:rPr>
          <w:rFonts w:hint="eastAsia" w:ascii="宋体" w:hAnsi="宋体" w:eastAsia="宋体" w:cs="宋体"/>
          <w:sz w:val="24"/>
          <w:szCs w:val="24"/>
          <w:highlight w:val="none"/>
        </w:rPr>
        <w:t>签订合同（含合同首页、金额所在页、签字盖章页）的复印件</w:t>
      </w:r>
      <w:r>
        <w:rPr>
          <w:rFonts w:hint="eastAsia" w:ascii="宋体" w:hAnsi="宋体" w:eastAsia="宋体" w:cs="宋体"/>
          <w:sz w:val="24"/>
          <w:szCs w:val="24"/>
          <w:highlight w:val="none"/>
          <w:lang w:val="en-US" w:eastAsia="zh-CN"/>
        </w:rPr>
        <w:t>或中标通知书扫描件</w:t>
      </w:r>
      <w:r>
        <w:rPr>
          <w:rFonts w:hint="eastAsia" w:ascii="宋体" w:hAnsi="宋体" w:eastAsia="宋体" w:cs="宋体"/>
          <w:sz w:val="24"/>
          <w:szCs w:val="24"/>
          <w:highlight w:val="none"/>
        </w:rPr>
        <w:t>，并加盖投标单位公章。</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6"/>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t>（</w:t>
      </w:r>
      <w:r>
        <w:rPr>
          <w:rFonts w:hint="eastAsia" w:ascii="宋体" w:hAnsi="宋体" w:eastAsia="宋体" w:cs="宋体"/>
          <w:b/>
          <w:sz w:val="24"/>
          <w:szCs w:val="24"/>
          <w:highlight w:val="none"/>
          <w:lang w:val="en-US" w:eastAsia="zh-CN" w:bidi="ar"/>
        </w:rPr>
        <w:t>四</w:t>
      </w:r>
      <w:r>
        <w:rPr>
          <w:rFonts w:hint="eastAsia" w:ascii="宋体" w:hAnsi="宋体" w:eastAsia="宋体" w:cs="宋体"/>
          <w:b/>
          <w:sz w:val="24"/>
          <w:szCs w:val="24"/>
          <w:highlight w:val="none"/>
          <w:lang w:bidi="ar"/>
        </w:rPr>
        <w:t>）</w:t>
      </w:r>
      <w:r>
        <w:rPr>
          <w:rFonts w:hint="eastAsia" w:ascii="宋体" w:hAnsi="宋体" w:eastAsia="宋体" w:cs="宋体"/>
          <w:b/>
          <w:sz w:val="24"/>
          <w:szCs w:val="24"/>
          <w:highlight w:val="none"/>
          <w:lang w:eastAsia="zh-CN" w:bidi="ar"/>
        </w:rPr>
        <w:t>商务技术服务偏离表</w:t>
      </w:r>
    </w:p>
    <w:p>
      <w:pPr>
        <w:widowControl/>
        <w:shd w:val="clear"/>
        <w:tabs>
          <w:tab w:val="left" w:pos="4000"/>
        </w:tabs>
        <w:snapToGrid/>
        <w:spacing w:before="0" w:beforeAutospacing="0" w:after="0" w:afterAutospacing="0" w:line="360" w:lineRule="auto"/>
        <w:ind w:firstLine="187" w:firstLineChars="78"/>
        <w:jc w:val="left"/>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项目名称：</w:t>
      </w:r>
    </w:p>
    <w:p>
      <w:pPr>
        <w:widowControl/>
        <w:shd w:val="clear"/>
        <w:tabs>
          <w:tab w:val="left" w:pos="4000"/>
        </w:tabs>
        <w:snapToGrid/>
        <w:spacing w:before="0" w:beforeAutospacing="0" w:after="0" w:afterAutospacing="0" w:line="360" w:lineRule="auto"/>
        <w:ind w:firstLine="187" w:firstLineChars="78"/>
        <w:jc w:val="left"/>
        <w:textAlignment w:val="baseline"/>
        <w:rPr>
          <w:rStyle w:val="75"/>
          <w:rFonts w:hint="eastAsia" w:ascii="宋体" w:hAnsi="宋体" w:eastAsia="宋体" w:cs="宋体"/>
          <w:b w:val="0"/>
          <w:i w:val="0"/>
          <w:caps w:val="0"/>
          <w:color w:val="auto"/>
          <w:spacing w:val="0"/>
          <w:w w:val="100"/>
          <w:kern w:val="2"/>
          <w:sz w:val="24"/>
          <w:szCs w:val="24"/>
          <w:highlight w:val="none"/>
          <w:u w:val="singl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项目编号：</w:t>
      </w:r>
    </w:p>
    <w:tbl>
      <w:tblPr>
        <w:tblStyle w:val="32"/>
        <w:tblW w:w="74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719"/>
        <w:gridCol w:w="2254"/>
        <w:gridCol w:w="2396"/>
        <w:gridCol w:w="1208"/>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序号</w:t>
            </w:r>
          </w:p>
        </w:tc>
        <w:tc>
          <w:tcPr>
            <w:tcW w:w="2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磋商文件要求</w:t>
            </w:r>
          </w:p>
        </w:tc>
        <w:tc>
          <w:tcPr>
            <w:tcW w:w="2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响应文件响应内容</w:t>
            </w: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偏离情况</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400" w:lineRule="exact"/>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59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2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snapToGrid/>
              <w:spacing w:before="0" w:beforeAutospacing="0" w:after="0" w:afterAutospacing="0" w:line="360" w:lineRule="auto"/>
              <w:jc w:val="center"/>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tc>
      </w:tr>
    </w:tbl>
    <w:p>
      <w:pPr>
        <w:keepNext w:val="0"/>
        <w:keepLines w:val="0"/>
        <w:pageBreakBefore w:val="0"/>
        <w:widowControl/>
        <w:shd w:val="clear"/>
        <w:kinsoku/>
        <w:wordWrap/>
        <w:overflowPunct/>
        <w:topLinePunct w:val="0"/>
        <w:autoSpaceDE/>
        <w:autoSpaceDN/>
        <w:bidi w:val="0"/>
        <w:adjustRightInd/>
        <w:snapToGrid/>
        <w:spacing w:before="157" w:beforeLines="50" w:beforeAutospacing="0" w:after="0" w:afterAutospacing="0" w:line="360" w:lineRule="auto"/>
        <w:ind w:firstLine="480" w:firstLineChars="200"/>
        <w:jc w:val="left"/>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注：供应商可根据本磋商文件中商务技术服务要求编制此表，在此表中客观真实的做出响应，并根据响应情况在偏离情况中填写“无偏离”“负偏离”“正偏离”。</w:t>
      </w:r>
    </w:p>
    <w:p>
      <w:pPr>
        <w:widowControl/>
        <w:shd w:val="clear"/>
        <w:snapToGrid w:val="0"/>
        <w:spacing w:before="0" w:beforeAutospacing="0" w:after="0" w:afterAutospacing="0" w:line="360" w:lineRule="auto"/>
        <w:jc w:val="left"/>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p>
    <w:p>
      <w:pPr>
        <w:widowControl/>
        <w:shd w:val="clear"/>
        <w:tabs>
          <w:tab w:val="left" w:pos="4000"/>
        </w:tabs>
        <w:snapToGrid/>
        <w:spacing w:before="0" w:beforeAutospacing="0" w:after="0" w:afterAutospacing="0" w:line="360" w:lineRule="auto"/>
        <w:ind w:firstLine="3050" w:firstLineChars="1271"/>
        <w:jc w:val="left"/>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cs="宋体"/>
          <w:b w:val="0"/>
          <w:i w:val="0"/>
          <w:caps w:val="0"/>
          <w:color w:val="auto"/>
          <w:spacing w:val="0"/>
          <w:w w:val="100"/>
          <w:kern w:val="2"/>
          <w:sz w:val="24"/>
          <w:szCs w:val="24"/>
          <w:highlight w:val="none"/>
          <w:lang w:val="en-US" w:eastAsia="zh-CN" w:bidi="ar-SA"/>
        </w:rPr>
        <w:t>磋商</w:t>
      </w:r>
      <w:r>
        <w:rPr>
          <w:rStyle w:val="75"/>
          <w:rFonts w:hint="eastAsia" w:ascii="宋体" w:hAnsi="宋体" w:eastAsia="宋体" w:cs="宋体"/>
          <w:b w:val="0"/>
          <w:i w:val="0"/>
          <w:caps w:val="0"/>
          <w:color w:val="auto"/>
          <w:spacing w:val="0"/>
          <w:w w:val="100"/>
          <w:kern w:val="2"/>
          <w:sz w:val="24"/>
          <w:szCs w:val="24"/>
          <w:highlight w:val="none"/>
          <w:lang w:val="en-US" w:eastAsia="zh-CN" w:bidi="ar-SA"/>
        </w:rPr>
        <w:t>供应商：</w:t>
      </w:r>
      <w:r>
        <w:rPr>
          <w:rStyle w:val="75"/>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r>
        <w:rPr>
          <w:rStyle w:val="75"/>
          <w:rFonts w:hint="eastAsia" w:ascii="宋体" w:hAnsi="宋体" w:eastAsia="宋体" w:cs="宋体"/>
          <w:b w:val="0"/>
          <w:i w:val="0"/>
          <w:caps w:val="0"/>
          <w:color w:val="auto"/>
          <w:spacing w:val="0"/>
          <w:w w:val="100"/>
          <w:kern w:val="2"/>
          <w:sz w:val="24"/>
          <w:szCs w:val="24"/>
          <w:highlight w:val="none"/>
          <w:lang w:val="en-US" w:eastAsia="zh-CN" w:bidi="ar-SA"/>
        </w:rPr>
        <w:t>（电子签章）</w:t>
      </w:r>
    </w:p>
    <w:p>
      <w:pPr>
        <w:widowControl/>
        <w:shd w:val="clear"/>
        <w:tabs>
          <w:tab w:val="left" w:pos="4000"/>
        </w:tabs>
        <w:snapToGrid/>
        <w:spacing w:before="0" w:beforeAutospacing="0" w:after="0" w:afterAutospacing="0" w:line="360" w:lineRule="auto"/>
        <w:ind w:firstLine="3050" w:firstLineChars="1271"/>
        <w:jc w:val="left"/>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法定代表人或供应商代表：</w:t>
      </w:r>
      <w:r>
        <w:rPr>
          <w:rStyle w:val="75"/>
          <w:rFonts w:hint="eastAsia" w:ascii="宋体" w:hAnsi="宋体" w:eastAsia="宋体" w:cs="宋体"/>
          <w:b w:val="0"/>
          <w:i w:val="0"/>
          <w:caps w:val="0"/>
          <w:color w:val="auto"/>
          <w:spacing w:val="0"/>
          <w:w w:val="100"/>
          <w:kern w:val="2"/>
          <w:sz w:val="24"/>
          <w:szCs w:val="24"/>
          <w:highlight w:val="none"/>
          <w:u w:val="single" w:color="000000"/>
          <w:lang w:val="en-US" w:eastAsia="zh-CN" w:bidi="ar-SA"/>
        </w:rPr>
        <w:t xml:space="preserve">       </w:t>
      </w:r>
      <w:r>
        <w:rPr>
          <w:rStyle w:val="75"/>
          <w:rFonts w:hint="eastAsia" w:ascii="宋体" w:hAnsi="宋体" w:eastAsia="宋体" w:cs="宋体"/>
          <w:b w:val="0"/>
          <w:i w:val="0"/>
          <w:caps w:val="0"/>
          <w:color w:val="auto"/>
          <w:spacing w:val="0"/>
          <w:w w:val="100"/>
          <w:kern w:val="2"/>
          <w:sz w:val="24"/>
          <w:szCs w:val="24"/>
          <w:highlight w:val="none"/>
          <w:lang w:val="en-US" w:eastAsia="zh-CN" w:bidi="ar-SA"/>
        </w:rPr>
        <w:t>（签字或盖章）</w:t>
      </w:r>
    </w:p>
    <w:p>
      <w:pPr>
        <w:widowControl/>
        <w:shd w:val="clear"/>
        <w:tabs>
          <w:tab w:val="left" w:pos="4000"/>
        </w:tabs>
        <w:snapToGrid/>
        <w:spacing w:before="0" w:beforeAutospacing="0" w:after="0" w:afterAutospacing="0" w:line="360" w:lineRule="auto"/>
        <w:ind w:firstLine="3050" w:firstLineChars="1271"/>
        <w:jc w:val="left"/>
        <w:textAlignment w:val="baseline"/>
        <w:rPr>
          <w:rStyle w:val="75"/>
          <w:rFonts w:hint="eastAsia" w:ascii="宋体" w:hAnsi="宋体" w:eastAsia="宋体" w:cs="宋体"/>
          <w:b w:val="0"/>
          <w:i w:val="0"/>
          <w:caps w:val="0"/>
          <w:color w:val="auto"/>
          <w:spacing w:val="0"/>
          <w:w w:val="100"/>
          <w:kern w:val="2"/>
          <w:sz w:val="24"/>
          <w:szCs w:val="24"/>
          <w:highlight w:val="none"/>
          <w:lang w:val="en-US" w:eastAsia="zh-CN" w:bidi="ar-SA"/>
        </w:rPr>
      </w:pPr>
      <w:r>
        <w:rPr>
          <w:rStyle w:val="75"/>
          <w:rFonts w:hint="eastAsia" w:ascii="宋体" w:hAnsi="宋体" w:eastAsia="宋体" w:cs="宋体"/>
          <w:b w:val="0"/>
          <w:i w:val="0"/>
          <w:caps w:val="0"/>
          <w:color w:val="auto"/>
          <w:spacing w:val="0"/>
          <w:w w:val="100"/>
          <w:kern w:val="2"/>
          <w:sz w:val="24"/>
          <w:szCs w:val="24"/>
          <w:highlight w:val="none"/>
          <w:lang w:val="en-US" w:eastAsia="zh-CN" w:bidi="ar-SA"/>
        </w:rPr>
        <w:t>日  期：      年    月    日</w:t>
      </w:r>
    </w:p>
    <w:p>
      <w:pPr>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br w:type="page"/>
      </w:r>
    </w:p>
    <w:p>
      <w:pPr>
        <w:pStyle w:val="6"/>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t>（</w:t>
      </w:r>
      <w:r>
        <w:rPr>
          <w:rFonts w:hint="eastAsia" w:ascii="宋体" w:hAnsi="宋体" w:eastAsia="宋体" w:cs="宋体"/>
          <w:b/>
          <w:sz w:val="24"/>
          <w:szCs w:val="24"/>
          <w:highlight w:val="none"/>
          <w:lang w:val="en-US" w:eastAsia="zh-CN" w:bidi="ar"/>
        </w:rPr>
        <w:t>五</w:t>
      </w:r>
      <w:r>
        <w:rPr>
          <w:rFonts w:hint="eastAsia" w:ascii="宋体" w:hAnsi="宋体" w:eastAsia="宋体" w:cs="宋体"/>
          <w:b/>
          <w:sz w:val="24"/>
          <w:szCs w:val="24"/>
          <w:highlight w:val="none"/>
          <w:lang w:bidi="ar"/>
        </w:rPr>
        <w:t>）本项目总体实施方案</w:t>
      </w:r>
    </w:p>
    <w:p>
      <w:pPr>
        <w:rPr>
          <w:rFonts w:hint="eastAsia" w:ascii="宋体" w:hAnsi="宋体" w:eastAsia="宋体" w:cs="宋体"/>
          <w:b/>
          <w:sz w:val="24"/>
          <w:szCs w:val="24"/>
          <w:highlight w:val="none"/>
          <w:lang w:bidi="ar"/>
        </w:rPr>
      </w:pPr>
      <w:r>
        <w:rPr>
          <w:rFonts w:hint="eastAsia" w:ascii="宋体" w:hAnsi="宋体" w:eastAsia="宋体" w:cs="宋体"/>
          <w:b/>
          <w:sz w:val="24"/>
          <w:szCs w:val="24"/>
          <w:highlight w:val="none"/>
          <w:lang w:bidi="ar"/>
        </w:rPr>
        <w:br w:type="page"/>
      </w:r>
    </w:p>
    <w:p>
      <w:pPr>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(六)供应商认为需要提供的其他商务、技术材料</w:t>
      </w:r>
    </w:p>
    <w:p>
      <w:pPr>
        <w:rPr>
          <w:rFonts w:hint="eastAsia" w:ascii="宋体" w:hAnsi="宋体" w:eastAsia="宋体" w:cs="宋体"/>
          <w:b/>
          <w:bCs/>
          <w:highlight w:val="yellow"/>
        </w:rPr>
      </w:pPr>
      <w:r>
        <w:rPr>
          <w:rFonts w:hint="eastAsia" w:ascii="宋体" w:hAnsi="宋体" w:eastAsia="宋体" w:cs="宋体"/>
          <w:b/>
          <w:bCs/>
          <w:highlight w:val="yellow"/>
        </w:rPr>
        <w:br w:type="page"/>
      </w:r>
    </w:p>
    <w:p>
      <w:pPr>
        <w:tabs>
          <w:tab w:val="left" w:pos="1680"/>
        </w:tabs>
        <w:snapToGrid w:val="0"/>
        <w:spacing w:line="360" w:lineRule="auto"/>
        <w:rPr>
          <w:rFonts w:hint="eastAsia" w:ascii="宋体" w:hAnsi="宋体" w:eastAsia="宋体" w:cs="宋体"/>
          <w:b/>
          <w:bCs/>
          <w:lang w:eastAsia="zh-CN"/>
        </w:rPr>
      </w:pPr>
      <w:r>
        <w:rPr>
          <w:rFonts w:hint="eastAsia" w:ascii="宋体" w:hAnsi="宋体" w:eastAsia="宋体" w:cs="宋体"/>
          <w:b/>
          <w:bCs/>
          <w:lang w:eastAsia="zh-CN"/>
        </w:rPr>
        <w:t>附件：</w:t>
      </w:r>
    </w:p>
    <w:p>
      <w:pPr>
        <w:tabs>
          <w:tab w:val="left" w:pos="1680"/>
        </w:tabs>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残疾人福利性单位声明函</w:t>
      </w:r>
      <w:bookmarkStart w:id="102" w:name="_Hlk14011592"/>
      <w:r>
        <w:rPr>
          <w:rFonts w:hint="eastAsia" w:ascii="宋体" w:hAnsi="宋体" w:eastAsia="宋体" w:cs="宋体"/>
          <w:b/>
          <w:color w:val="auto"/>
          <w:sz w:val="24"/>
        </w:rPr>
        <w:t>格式</w:t>
      </w:r>
    </w:p>
    <w:bookmarkEnd w:id="102"/>
    <w:p>
      <w:pPr>
        <w:tabs>
          <w:tab w:val="left" w:pos="1680"/>
        </w:tabs>
        <w:snapToGrid w:val="0"/>
        <w:spacing w:line="360" w:lineRule="auto"/>
        <w:rPr>
          <w:rFonts w:hint="eastAsia" w:ascii="宋体" w:hAnsi="宋体" w:eastAsia="宋体" w:cs="宋体"/>
          <w:b/>
          <w:color w:val="auto"/>
          <w:sz w:val="24"/>
        </w:rPr>
      </w:pPr>
    </w:p>
    <w:p>
      <w:pPr>
        <w:spacing w:line="360" w:lineRule="auto"/>
        <w:jc w:val="center"/>
        <w:outlineLvl w:val="0"/>
        <w:rPr>
          <w:rFonts w:hint="eastAsia" w:ascii="宋体" w:hAnsi="宋体" w:eastAsia="宋体" w:cs="宋体"/>
          <w:color w:val="auto"/>
          <w:sz w:val="24"/>
        </w:rPr>
      </w:pPr>
      <w:bookmarkStart w:id="103" w:name="_Toc18735"/>
      <w:bookmarkStart w:id="104" w:name="_Toc22655"/>
      <w:bookmarkStart w:id="105" w:name="_Toc18078"/>
      <w:r>
        <w:rPr>
          <w:rFonts w:hint="eastAsia" w:ascii="宋体" w:hAnsi="宋体" w:eastAsia="宋体" w:cs="宋体"/>
          <w:color w:val="auto"/>
          <w:sz w:val="24"/>
        </w:rPr>
        <w:t>残疾人福利性单位声明函</w:t>
      </w:r>
      <w:bookmarkEnd w:id="103"/>
      <w:bookmarkEnd w:id="104"/>
      <w:bookmarkEnd w:id="105"/>
    </w:p>
    <w:p>
      <w:pPr>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项目编号：__________________）采购活动提供本单位制造的货物（由本单位承担工程/提供服务），或者提供其他残疾人福利性单位制造的货物（不包括使用非残疾人福利性单位注册商标的货物）。</w:t>
      </w:r>
    </w:p>
    <w:p>
      <w:pPr>
        <w:spacing w:line="360" w:lineRule="auto"/>
        <w:ind w:firstLine="566" w:firstLineChars="236"/>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86" w:firstLineChars="2036"/>
        <w:rPr>
          <w:rFonts w:hint="eastAsia" w:ascii="宋体" w:hAnsi="宋体" w:eastAsia="宋体" w:cs="宋体"/>
          <w:color w:val="auto"/>
          <w:sz w:val="24"/>
        </w:rPr>
      </w:pPr>
    </w:p>
    <w:p>
      <w:pPr>
        <w:spacing w:line="360" w:lineRule="auto"/>
        <w:ind w:firstLine="4886" w:firstLineChars="2036"/>
        <w:rPr>
          <w:rFonts w:hint="eastAsia" w:ascii="宋体" w:hAnsi="宋体" w:eastAsia="宋体" w:cs="宋体"/>
          <w:color w:val="auto"/>
          <w:sz w:val="24"/>
        </w:rPr>
      </w:pPr>
    </w:p>
    <w:p>
      <w:pPr>
        <w:spacing w:line="360" w:lineRule="auto"/>
        <w:ind w:firstLine="4886" w:firstLineChars="2036"/>
        <w:rPr>
          <w:rFonts w:hint="eastAsia" w:ascii="宋体" w:hAnsi="宋体" w:eastAsia="宋体" w:cs="宋体"/>
          <w:color w:val="auto"/>
          <w:sz w:val="24"/>
        </w:rPr>
      </w:pPr>
    </w:p>
    <w:p>
      <w:pPr>
        <w:spacing w:line="360" w:lineRule="auto"/>
        <w:ind w:firstLine="4886" w:firstLineChars="2036"/>
        <w:rPr>
          <w:rFonts w:hint="eastAsia" w:ascii="宋体" w:hAnsi="宋体" w:eastAsia="宋体" w:cs="宋体"/>
          <w:color w:val="auto"/>
          <w:sz w:val="24"/>
        </w:rPr>
      </w:pPr>
    </w:p>
    <w:p>
      <w:pPr>
        <w:spacing w:line="360" w:lineRule="auto"/>
        <w:ind w:firstLine="4886" w:firstLineChars="2036"/>
        <w:rPr>
          <w:rFonts w:hint="eastAsia" w:ascii="宋体" w:hAnsi="宋体" w:eastAsia="宋体" w:cs="宋体"/>
          <w:color w:val="auto"/>
          <w:sz w:val="24"/>
        </w:rPr>
      </w:pPr>
      <w:r>
        <w:rPr>
          <w:rFonts w:hint="eastAsia" w:ascii="宋体" w:hAnsi="宋体" w:eastAsia="宋体" w:cs="宋体"/>
          <w:color w:val="auto"/>
          <w:sz w:val="24"/>
        </w:rPr>
        <w:t>单位名称（签章）：</w:t>
      </w:r>
    </w:p>
    <w:p>
      <w:pPr>
        <w:spacing w:line="360" w:lineRule="auto"/>
        <w:ind w:firstLine="4886" w:firstLineChars="2036"/>
        <w:rPr>
          <w:rFonts w:hint="eastAsia" w:ascii="宋体" w:hAnsi="宋体" w:eastAsia="宋体" w:cs="宋体"/>
          <w:color w:val="auto"/>
          <w:sz w:val="24"/>
        </w:rPr>
      </w:pPr>
      <w:r>
        <w:rPr>
          <w:rFonts w:hint="eastAsia" w:ascii="宋体" w:hAnsi="宋体" w:eastAsia="宋体" w:cs="宋体"/>
          <w:color w:val="auto"/>
          <w:sz w:val="24"/>
        </w:rPr>
        <w:t>日  期：</w:t>
      </w:r>
    </w:p>
    <w:p>
      <w:pPr>
        <w:spacing w:line="360" w:lineRule="auto"/>
        <w:ind w:firstLine="4886" w:firstLineChars="2036"/>
        <w:rPr>
          <w:rFonts w:hint="eastAsia" w:ascii="宋体" w:hAnsi="宋体" w:eastAsia="宋体" w:cs="宋体"/>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r>
        <w:rPr>
          <w:rFonts w:hint="eastAsia" w:ascii="宋体" w:hAnsi="宋体" w:eastAsia="宋体" w:cs="宋体"/>
          <w:b/>
          <w:color w:val="auto"/>
          <w:sz w:val="24"/>
        </w:rPr>
        <w:t>监狱企业声明函格式</w:t>
      </w:r>
    </w:p>
    <w:p>
      <w:pPr>
        <w:spacing w:line="360" w:lineRule="auto"/>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监狱企业声明函</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本企业（单位）郑重声明下列事项：</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本企业（单位）为直接投标人提供本企业（单位）制造的货物。</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（1）本企业（单位）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（请填写：是、不是）监狱企业。后附省级以上监狱管理局、戒毒管理局（含新疆生产建设兵团）出具的属于监狱企业的证明文件。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（2）本企业（单位）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（请填写：是、不是）为联合体一方，提供本企业（单位）制造的货物，由本企业（单位）承担工程、提供服务。本企业（单位）提供协议合同金额占到共同投标协议合同总金额的比例为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本企业（单位）对上述声明的真实性负责。如有虚假，将依法承担相应责任。</w:t>
      </w: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rPr>
          <w:rFonts w:hint="eastAsia" w:ascii="宋体" w:hAnsi="宋体" w:eastAsia="宋体" w:cs="宋体"/>
          <w:b/>
          <w:color w:val="auto"/>
          <w:sz w:val="24"/>
        </w:rPr>
      </w:pPr>
    </w:p>
    <w:p>
      <w:pPr>
        <w:spacing w:line="360" w:lineRule="auto"/>
        <w:ind w:firstLine="4886" w:firstLineChars="2036"/>
        <w:rPr>
          <w:rFonts w:hint="eastAsia" w:ascii="宋体" w:hAnsi="宋体" w:eastAsia="宋体" w:cs="宋体"/>
          <w:color w:val="auto"/>
          <w:sz w:val="24"/>
        </w:rPr>
      </w:pPr>
      <w:r>
        <w:rPr>
          <w:rFonts w:hint="eastAsia" w:ascii="宋体" w:hAnsi="宋体" w:eastAsia="宋体" w:cs="宋体"/>
          <w:color w:val="auto"/>
          <w:sz w:val="24"/>
        </w:rPr>
        <w:t>单位名称（签章）：</w:t>
      </w:r>
    </w:p>
    <w:p>
      <w:pPr>
        <w:spacing w:line="360" w:lineRule="auto"/>
        <w:ind w:firstLine="4886" w:firstLineChars="2036"/>
        <w:rPr>
          <w:rFonts w:hint="eastAsia" w:ascii="宋体" w:hAnsi="宋体" w:eastAsia="宋体" w:cs="宋体"/>
          <w:color w:val="auto"/>
          <w:sz w:val="24"/>
        </w:rPr>
      </w:pPr>
      <w:r>
        <w:rPr>
          <w:rFonts w:hint="eastAsia" w:ascii="宋体" w:hAnsi="宋体" w:eastAsia="宋体" w:cs="宋体"/>
          <w:color w:val="auto"/>
          <w:sz w:val="24"/>
        </w:rPr>
        <w:t>日  期：</w:t>
      </w:r>
    </w:p>
    <w:p>
      <w:pPr>
        <w:pStyle w:val="23"/>
        <w:spacing w:line="360" w:lineRule="auto"/>
        <w:ind w:firstLine="422" w:firstLineChars="200"/>
        <w:rPr>
          <w:rFonts w:hint="eastAsia" w:ascii="宋体" w:hAnsi="宋体" w:eastAsia="宋体" w:cs="宋体"/>
          <w:b/>
          <w:bCs/>
          <w:color w:val="auto"/>
          <w:sz w:val="21"/>
          <w:szCs w:val="21"/>
        </w:rPr>
      </w:pPr>
    </w:p>
    <w:p>
      <w:pPr>
        <w:pStyle w:val="23"/>
        <w:spacing w:line="360" w:lineRule="auto"/>
        <w:rPr>
          <w:rFonts w:hint="eastAsia" w:ascii="宋体" w:hAnsi="宋体" w:eastAsia="宋体" w:cs="宋体"/>
          <w:color w:val="auto"/>
        </w:rPr>
      </w:pPr>
    </w:p>
    <w:p>
      <w:pPr>
        <w:spacing w:line="360" w:lineRule="auto"/>
        <w:rPr>
          <w:rFonts w:hint="eastAsia" w:ascii="宋体" w:hAnsi="宋体" w:eastAsia="宋体" w:cs="宋体"/>
          <w:b/>
          <w:color w:val="auto"/>
        </w:rPr>
      </w:pPr>
    </w:p>
    <w:p>
      <w:pPr>
        <w:spacing w:line="360" w:lineRule="auto"/>
        <w:ind w:firstLine="2703" w:firstLineChars="1122"/>
        <w:jc w:val="center"/>
        <w:rPr>
          <w:rFonts w:hint="eastAsia" w:ascii="宋体" w:hAnsi="宋体" w:eastAsia="宋体" w:cs="宋体"/>
          <w:b/>
          <w:color w:val="auto"/>
          <w:sz w:val="24"/>
        </w:rPr>
      </w:pPr>
    </w:p>
    <w:p>
      <w:pPr>
        <w:widowControl/>
        <w:snapToGrid w:val="0"/>
        <w:spacing w:line="360" w:lineRule="auto"/>
        <w:ind w:firstLine="562" w:firstLineChars="200"/>
        <w:jc w:val="left"/>
        <w:rPr>
          <w:rFonts w:hint="eastAsia" w:ascii="宋体" w:hAnsi="宋体" w:eastAsia="宋体" w:cs="宋体"/>
          <w:b/>
          <w:color w:val="auto"/>
          <w:kern w:val="0"/>
          <w:sz w:val="28"/>
          <w:szCs w:val="28"/>
        </w:rPr>
      </w:pPr>
    </w:p>
    <w:p>
      <w:pPr>
        <w:widowControl/>
        <w:snapToGrid w:val="0"/>
        <w:spacing w:line="360" w:lineRule="auto"/>
        <w:ind w:firstLine="562" w:firstLineChars="200"/>
        <w:jc w:val="left"/>
        <w:rPr>
          <w:rFonts w:hint="eastAsia" w:ascii="宋体" w:hAnsi="宋体" w:eastAsia="宋体" w:cs="宋体"/>
          <w:b/>
          <w:color w:val="auto"/>
          <w:kern w:val="0"/>
          <w:sz w:val="28"/>
          <w:szCs w:val="28"/>
        </w:rPr>
      </w:pPr>
    </w:p>
    <w:p>
      <w:pPr>
        <w:pStyle w:val="31"/>
        <w:ind w:left="0" w:leftChars="0" w:firstLine="0" w:firstLineChars="0"/>
        <w:rPr>
          <w:rFonts w:hint="eastAsia" w:ascii="宋体" w:hAnsi="宋体" w:eastAsia="宋体" w:cs="宋体"/>
          <w:lang w:eastAsia="zh-CN"/>
        </w:rPr>
      </w:pPr>
    </w:p>
    <w:sectPr>
      <w:headerReference r:id="rId7" w:type="first"/>
      <w:footerReference r:id="rId9" w:type="first"/>
      <w:headerReference r:id="rId6" w:type="default"/>
      <w:footerReference r:id="rId8" w:type="default"/>
      <w:pgSz w:w="11906" w:h="16838"/>
      <w:pgMar w:top="1440" w:right="1080" w:bottom="1440" w:left="1080" w:header="794"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18171"/>
    <w:multiLevelType w:val="singleLevel"/>
    <w:tmpl w:val="83618171"/>
    <w:lvl w:ilvl="0" w:tentative="0">
      <w:start w:val="1"/>
      <w:numFmt w:val="decimal"/>
      <w:suff w:val="space"/>
      <w:lvlText w:val="%1."/>
      <w:lvlJc w:val="left"/>
    </w:lvl>
  </w:abstractNum>
  <w:abstractNum w:abstractNumId="1">
    <w:nsid w:val="9D1F00ED"/>
    <w:multiLevelType w:val="singleLevel"/>
    <w:tmpl w:val="9D1F00ED"/>
    <w:lvl w:ilvl="0" w:tentative="0">
      <w:start w:val="1"/>
      <w:numFmt w:val="decimal"/>
      <w:suff w:val="nothing"/>
      <w:lvlText w:val="%1、"/>
      <w:lvlJc w:val="left"/>
    </w:lvl>
  </w:abstractNum>
  <w:abstractNum w:abstractNumId="2">
    <w:nsid w:val="A88C3E25"/>
    <w:multiLevelType w:val="singleLevel"/>
    <w:tmpl w:val="A88C3E25"/>
    <w:lvl w:ilvl="0" w:tentative="0">
      <w:start w:val="1"/>
      <w:numFmt w:val="decimal"/>
      <w:pStyle w:val="4"/>
      <w:lvlText w:val="%1."/>
      <w:lvlJc w:val="left"/>
      <w:pPr>
        <w:tabs>
          <w:tab w:val="left" w:pos="2040"/>
        </w:tabs>
        <w:ind w:left="2040" w:hanging="360"/>
      </w:pPr>
    </w:lvl>
  </w:abstractNum>
  <w:abstractNum w:abstractNumId="3">
    <w:nsid w:val="FA2086FD"/>
    <w:multiLevelType w:val="singleLevel"/>
    <w:tmpl w:val="FA2086FD"/>
    <w:lvl w:ilvl="0" w:tentative="0">
      <w:start w:val="1"/>
      <w:numFmt w:val="chineseCounting"/>
      <w:suff w:val="space"/>
      <w:lvlText w:val="第%1部分"/>
      <w:lvlJc w:val="left"/>
      <w:rPr>
        <w:rFonts w:hint="eastAsia"/>
      </w:rPr>
    </w:lvl>
  </w:abstractNum>
  <w:abstractNum w:abstractNumId="4">
    <w:nsid w:val="2FA188E4"/>
    <w:multiLevelType w:val="singleLevel"/>
    <w:tmpl w:val="2FA188E4"/>
    <w:lvl w:ilvl="0" w:tentative="0">
      <w:start w:val="2"/>
      <w:numFmt w:val="decimal"/>
      <w:lvlText w:val="%1."/>
      <w:lvlJc w:val="left"/>
      <w:pPr>
        <w:tabs>
          <w:tab w:val="left" w:pos="312"/>
        </w:tabs>
      </w:pPr>
    </w:lvl>
  </w:abstractNum>
  <w:abstractNum w:abstractNumId="5">
    <w:nsid w:val="37A31B2C"/>
    <w:multiLevelType w:val="multilevel"/>
    <w:tmpl w:val="37A31B2C"/>
    <w:lvl w:ilvl="0" w:tentative="0">
      <w:start w:val="1"/>
      <w:numFmt w:val="japaneseCounting"/>
      <w:lvlText w:val="%1、"/>
      <w:lvlJc w:val="left"/>
      <w:pPr>
        <w:ind w:left="666" w:hanging="456"/>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DU4NjEyODdjMTk5YjE5NzM3YjAxN2MzM2Q1MGEifQ=="/>
  </w:docVars>
  <w:rsids>
    <w:rsidRoot w:val="00172A27"/>
    <w:rsid w:val="000145C3"/>
    <w:rsid w:val="00031E00"/>
    <w:rsid w:val="00033A83"/>
    <w:rsid w:val="0005092E"/>
    <w:rsid w:val="00052D00"/>
    <w:rsid w:val="00056DC7"/>
    <w:rsid w:val="000858D1"/>
    <w:rsid w:val="00086BA9"/>
    <w:rsid w:val="000A12B6"/>
    <w:rsid w:val="000B017F"/>
    <w:rsid w:val="000D063A"/>
    <w:rsid w:val="000D7CDA"/>
    <w:rsid w:val="000E5EDD"/>
    <w:rsid w:val="00111FD5"/>
    <w:rsid w:val="00121295"/>
    <w:rsid w:val="001305C1"/>
    <w:rsid w:val="00142467"/>
    <w:rsid w:val="00151E18"/>
    <w:rsid w:val="00155FE5"/>
    <w:rsid w:val="00172A27"/>
    <w:rsid w:val="00184ECC"/>
    <w:rsid w:val="001861C3"/>
    <w:rsid w:val="00193AF6"/>
    <w:rsid w:val="001A70E1"/>
    <w:rsid w:val="001C28D2"/>
    <w:rsid w:val="001D4F34"/>
    <w:rsid w:val="001E7528"/>
    <w:rsid w:val="002005BB"/>
    <w:rsid w:val="00215A28"/>
    <w:rsid w:val="0022315D"/>
    <w:rsid w:val="00231D27"/>
    <w:rsid w:val="002320E9"/>
    <w:rsid w:val="00232E6C"/>
    <w:rsid w:val="00246EB4"/>
    <w:rsid w:val="00281807"/>
    <w:rsid w:val="00284D02"/>
    <w:rsid w:val="00285703"/>
    <w:rsid w:val="00285A3C"/>
    <w:rsid w:val="00285E30"/>
    <w:rsid w:val="002924AC"/>
    <w:rsid w:val="002A1C44"/>
    <w:rsid w:val="002A6419"/>
    <w:rsid w:val="002A6F0B"/>
    <w:rsid w:val="002B0F7E"/>
    <w:rsid w:val="002C5952"/>
    <w:rsid w:val="002D0326"/>
    <w:rsid w:val="002D1A64"/>
    <w:rsid w:val="002E0E4D"/>
    <w:rsid w:val="002E1666"/>
    <w:rsid w:val="002F127D"/>
    <w:rsid w:val="002F5ED5"/>
    <w:rsid w:val="003071B9"/>
    <w:rsid w:val="00311B72"/>
    <w:rsid w:val="00316B85"/>
    <w:rsid w:val="00320F0D"/>
    <w:rsid w:val="003466BC"/>
    <w:rsid w:val="00365404"/>
    <w:rsid w:val="0037767E"/>
    <w:rsid w:val="003B05C2"/>
    <w:rsid w:val="003B3A79"/>
    <w:rsid w:val="00411267"/>
    <w:rsid w:val="00411598"/>
    <w:rsid w:val="00414F59"/>
    <w:rsid w:val="00424001"/>
    <w:rsid w:val="00434FD8"/>
    <w:rsid w:val="004508FF"/>
    <w:rsid w:val="004556C9"/>
    <w:rsid w:val="00470AEA"/>
    <w:rsid w:val="0047254D"/>
    <w:rsid w:val="004727E8"/>
    <w:rsid w:val="00472E5E"/>
    <w:rsid w:val="004817F7"/>
    <w:rsid w:val="004B25CD"/>
    <w:rsid w:val="004B5DEB"/>
    <w:rsid w:val="004C0F45"/>
    <w:rsid w:val="004D29B4"/>
    <w:rsid w:val="004F6C1B"/>
    <w:rsid w:val="00503749"/>
    <w:rsid w:val="005136F3"/>
    <w:rsid w:val="00522C0C"/>
    <w:rsid w:val="00523A57"/>
    <w:rsid w:val="00570368"/>
    <w:rsid w:val="00577F0F"/>
    <w:rsid w:val="00592E51"/>
    <w:rsid w:val="005B0A84"/>
    <w:rsid w:val="005E5895"/>
    <w:rsid w:val="005F3A11"/>
    <w:rsid w:val="006070F6"/>
    <w:rsid w:val="00635BC5"/>
    <w:rsid w:val="00640A53"/>
    <w:rsid w:val="006A69E4"/>
    <w:rsid w:val="006D6869"/>
    <w:rsid w:val="006F20C5"/>
    <w:rsid w:val="00706EB9"/>
    <w:rsid w:val="00716586"/>
    <w:rsid w:val="00722F9D"/>
    <w:rsid w:val="007236E8"/>
    <w:rsid w:val="00732468"/>
    <w:rsid w:val="007365BA"/>
    <w:rsid w:val="007633C0"/>
    <w:rsid w:val="00786652"/>
    <w:rsid w:val="007904CF"/>
    <w:rsid w:val="007A4951"/>
    <w:rsid w:val="007B723F"/>
    <w:rsid w:val="007C1303"/>
    <w:rsid w:val="007C791E"/>
    <w:rsid w:val="007E2F0E"/>
    <w:rsid w:val="007E4E4E"/>
    <w:rsid w:val="007E530E"/>
    <w:rsid w:val="00803D5E"/>
    <w:rsid w:val="0081083D"/>
    <w:rsid w:val="008268DF"/>
    <w:rsid w:val="00830B23"/>
    <w:rsid w:val="00832473"/>
    <w:rsid w:val="00842455"/>
    <w:rsid w:val="00861BB0"/>
    <w:rsid w:val="00863806"/>
    <w:rsid w:val="00864025"/>
    <w:rsid w:val="00871434"/>
    <w:rsid w:val="008813C3"/>
    <w:rsid w:val="00893C14"/>
    <w:rsid w:val="008A2E3D"/>
    <w:rsid w:val="008A2F4A"/>
    <w:rsid w:val="008A5AA5"/>
    <w:rsid w:val="008B09B9"/>
    <w:rsid w:val="008C19AB"/>
    <w:rsid w:val="008C5926"/>
    <w:rsid w:val="008C7065"/>
    <w:rsid w:val="008D26EF"/>
    <w:rsid w:val="00905ABB"/>
    <w:rsid w:val="00927DFB"/>
    <w:rsid w:val="009357FA"/>
    <w:rsid w:val="0093608B"/>
    <w:rsid w:val="009417EF"/>
    <w:rsid w:val="00957D87"/>
    <w:rsid w:val="00966A8A"/>
    <w:rsid w:val="00976346"/>
    <w:rsid w:val="009B1169"/>
    <w:rsid w:val="009D0FA7"/>
    <w:rsid w:val="009E18E8"/>
    <w:rsid w:val="00A120E5"/>
    <w:rsid w:val="00A15A46"/>
    <w:rsid w:val="00A15A99"/>
    <w:rsid w:val="00A35D97"/>
    <w:rsid w:val="00A51309"/>
    <w:rsid w:val="00A52791"/>
    <w:rsid w:val="00A53050"/>
    <w:rsid w:val="00A60A0B"/>
    <w:rsid w:val="00A83FE5"/>
    <w:rsid w:val="00A84E04"/>
    <w:rsid w:val="00AA3FF4"/>
    <w:rsid w:val="00AB573D"/>
    <w:rsid w:val="00AC7DA8"/>
    <w:rsid w:val="00AE268F"/>
    <w:rsid w:val="00AE5143"/>
    <w:rsid w:val="00B221AF"/>
    <w:rsid w:val="00B51A3C"/>
    <w:rsid w:val="00B64E22"/>
    <w:rsid w:val="00B777FA"/>
    <w:rsid w:val="00B91D03"/>
    <w:rsid w:val="00BB648D"/>
    <w:rsid w:val="00BC156A"/>
    <w:rsid w:val="00BD5A39"/>
    <w:rsid w:val="00BD5C9F"/>
    <w:rsid w:val="00BD6966"/>
    <w:rsid w:val="00BE1EA3"/>
    <w:rsid w:val="00BE24EE"/>
    <w:rsid w:val="00C058B6"/>
    <w:rsid w:val="00C22ED5"/>
    <w:rsid w:val="00C33B4A"/>
    <w:rsid w:val="00C358B2"/>
    <w:rsid w:val="00C35AA1"/>
    <w:rsid w:val="00C3767C"/>
    <w:rsid w:val="00C379B6"/>
    <w:rsid w:val="00C53D7C"/>
    <w:rsid w:val="00C60E47"/>
    <w:rsid w:val="00C6130D"/>
    <w:rsid w:val="00C657D2"/>
    <w:rsid w:val="00C76D7C"/>
    <w:rsid w:val="00C829E6"/>
    <w:rsid w:val="00C82D47"/>
    <w:rsid w:val="00C830A5"/>
    <w:rsid w:val="00C90498"/>
    <w:rsid w:val="00C92CCE"/>
    <w:rsid w:val="00C933FC"/>
    <w:rsid w:val="00C9597F"/>
    <w:rsid w:val="00CA17C5"/>
    <w:rsid w:val="00CA1DBC"/>
    <w:rsid w:val="00CC24BB"/>
    <w:rsid w:val="00CC41E8"/>
    <w:rsid w:val="00CD0CBE"/>
    <w:rsid w:val="00CD1814"/>
    <w:rsid w:val="00CF121E"/>
    <w:rsid w:val="00CF2458"/>
    <w:rsid w:val="00D129C4"/>
    <w:rsid w:val="00D20B5E"/>
    <w:rsid w:val="00D23BBA"/>
    <w:rsid w:val="00D259F1"/>
    <w:rsid w:val="00D25E87"/>
    <w:rsid w:val="00D34831"/>
    <w:rsid w:val="00D6421A"/>
    <w:rsid w:val="00DC52CF"/>
    <w:rsid w:val="00DC6E80"/>
    <w:rsid w:val="00DC7977"/>
    <w:rsid w:val="00DD1E0C"/>
    <w:rsid w:val="00DE2D8B"/>
    <w:rsid w:val="00DF09C8"/>
    <w:rsid w:val="00E015C1"/>
    <w:rsid w:val="00E0473C"/>
    <w:rsid w:val="00E108E7"/>
    <w:rsid w:val="00E36CFE"/>
    <w:rsid w:val="00E37C55"/>
    <w:rsid w:val="00E41D56"/>
    <w:rsid w:val="00E57541"/>
    <w:rsid w:val="00EA564C"/>
    <w:rsid w:val="00EC29F0"/>
    <w:rsid w:val="00EF75FB"/>
    <w:rsid w:val="00F14C30"/>
    <w:rsid w:val="00F20C52"/>
    <w:rsid w:val="00F370E7"/>
    <w:rsid w:val="00F5308A"/>
    <w:rsid w:val="00F67816"/>
    <w:rsid w:val="00F74DAF"/>
    <w:rsid w:val="00F76D4C"/>
    <w:rsid w:val="00F821D9"/>
    <w:rsid w:val="00F936F9"/>
    <w:rsid w:val="00F93AFF"/>
    <w:rsid w:val="00FF48A9"/>
    <w:rsid w:val="010333FC"/>
    <w:rsid w:val="010351AA"/>
    <w:rsid w:val="018C326C"/>
    <w:rsid w:val="01CD300C"/>
    <w:rsid w:val="01D67E26"/>
    <w:rsid w:val="02252BF0"/>
    <w:rsid w:val="02786BA5"/>
    <w:rsid w:val="02C5626B"/>
    <w:rsid w:val="03235FD4"/>
    <w:rsid w:val="03490C25"/>
    <w:rsid w:val="03597270"/>
    <w:rsid w:val="03606082"/>
    <w:rsid w:val="037916B4"/>
    <w:rsid w:val="03897B37"/>
    <w:rsid w:val="03C71085"/>
    <w:rsid w:val="03D96B5A"/>
    <w:rsid w:val="03F6135F"/>
    <w:rsid w:val="0453340E"/>
    <w:rsid w:val="04796C61"/>
    <w:rsid w:val="04C6370B"/>
    <w:rsid w:val="04CC14E0"/>
    <w:rsid w:val="04D94B9F"/>
    <w:rsid w:val="051C0314"/>
    <w:rsid w:val="052157AF"/>
    <w:rsid w:val="0568305F"/>
    <w:rsid w:val="05E27A84"/>
    <w:rsid w:val="05F449A7"/>
    <w:rsid w:val="05FF00C3"/>
    <w:rsid w:val="064C314F"/>
    <w:rsid w:val="06606ACF"/>
    <w:rsid w:val="06710E08"/>
    <w:rsid w:val="06854BF6"/>
    <w:rsid w:val="069360FC"/>
    <w:rsid w:val="06A20A42"/>
    <w:rsid w:val="06F070DA"/>
    <w:rsid w:val="06F76806"/>
    <w:rsid w:val="07093E91"/>
    <w:rsid w:val="070A5C4A"/>
    <w:rsid w:val="07A046D3"/>
    <w:rsid w:val="07BA233A"/>
    <w:rsid w:val="08620842"/>
    <w:rsid w:val="086D3022"/>
    <w:rsid w:val="08866DE8"/>
    <w:rsid w:val="08C47915"/>
    <w:rsid w:val="08FC28B3"/>
    <w:rsid w:val="09041175"/>
    <w:rsid w:val="09117369"/>
    <w:rsid w:val="093C4BB3"/>
    <w:rsid w:val="09577F91"/>
    <w:rsid w:val="098552F6"/>
    <w:rsid w:val="09A430BF"/>
    <w:rsid w:val="09B65FA2"/>
    <w:rsid w:val="09F87E89"/>
    <w:rsid w:val="09FB56C3"/>
    <w:rsid w:val="0A37753A"/>
    <w:rsid w:val="0A3F3608"/>
    <w:rsid w:val="0AA1619E"/>
    <w:rsid w:val="0AB908B5"/>
    <w:rsid w:val="0AB93556"/>
    <w:rsid w:val="0ACE6B1F"/>
    <w:rsid w:val="0ADC59FF"/>
    <w:rsid w:val="0AF86A36"/>
    <w:rsid w:val="0AFC15E8"/>
    <w:rsid w:val="0B2038C1"/>
    <w:rsid w:val="0B3B42AA"/>
    <w:rsid w:val="0B8E5DC3"/>
    <w:rsid w:val="0BA63302"/>
    <w:rsid w:val="0BE606DE"/>
    <w:rsid w:val="0C34042E"/>
    <w:rsid w:val="0C695726"/>
    <w:rsid w:val="0CAB66CA"/>
    <w:rsid w:val="0CBE2C66"/>
    <w:rsid w:val="0D166810"/>
    <w:rsid w:val="0D330BC5"/>
    <w:rsid w:val="0D422EA8"/>
    <w:rsid w:val="0D5414E8"/>
    <w:rsid w:val="0D637A57"/>
    <w:rsid w:val="0D8647F2"/>
    <w:rsid w:val="0D90030B"/>
    <w:rsid w:val="0DA53108"/>
    <w:rsid w:val="0DED5218"/>
    <w:rsid w:val="0E197789"/>
    <w:rsid w:val="0E4B781A"/>
    <w:rsid w:val="0E6153E0"/>
    <w:rsid w:val="0E70581B"/>
    <w:rsid w:val="0EDA0148"/>
    <w:rsid w:val="0F3227B0"/>
    <w:rsid w:val="0F3A2F1A"/>
    <w:rsid w:val="0F3A2F7F"/>
    <w:rsid w:val="0F3B4132"/>
    <w:rsid w:val="0F43143F"/>
    <w:rsid w:val="0F546F0A"/>
    <w:rsid w:val="0F6E4136"/>
    <w:rsid w:val="0F6F3789"/>
    <w:rsid w:val="0F9F7A79"/>
    <w:rsid w:val="0FCD278D"/>
    <w:rsid w:val="102A4047"/>
    <w:rsid w:val="102B5E09"/>
    <w:rsid w:val="10353F17"/>
    <w:rsid w:val="103E78C3"/>
    <w:rsid w:val="104A6951"/>
    <w:rsid w:val="10562027"/>
    <w:rsid w:val="105E1FB5"/>
    <w:rsid w:val="109245CB"/>
    <w:rsid w:val="11433D4B"/>
    <w:rsid w:val="11C76D97"/>
    <w:rsid w:val="11E823CF"/>
    <w:rsid w:val="11EA4D50"/>
    <w:rsid w:val="13050CDE"/>
    <w:rsid w:val="130520F3"/>
    <w:rsid w:val="13437F45"/>
    <w:rsid w:val="1351449B"/>
    <w:rsid w:val="1389079A"/>
    <w:rsid w:val="13AE369B"/>
    <w:rsid w:val="13C363FE"/>
    <w:rsid w:val="13E242C4"/>
    <w:rsid w:val="14210A80"/>
    <w:rsid w:val="149231A8"/>
    <w:rsid w:val="14A1787B"/>
    <w:rsid w:val="14CA040B"/>
    <w:rsid w:val="14F14BBD"/>
    <w:rsid w:val="14F5184E"/>
    <w:rsid w:val="14F96B98"/>
    <w:rsid w:val="151A226E"/>
    <w:rsid w:val="155A5873"/>
    <w:rsid w:val="157B1B36"/>
    <w:rsid w:val="159D25CE"/>
    <w:rsid w:val="15A164FA"/>
    <w:rsid w:val="15BB3E4D"/>
    <w:rsid w:val="16107650"/>
    <w:rsid w:val="1624728A"/>
    <w:rsid w:val="169064F7"/>
    <w:rsid w:val="16966EA1"/>
    <w:rsid w:val="16AB1155"/>
    <w:rsid w:val="16DA0303"/>
    <w:rsid w:val="17090999"/>
    <w:rsid w:val="174353C2"/>
    <w:rsid w:val="1763209C"/>
    <w:rsid w:val="1791549D"/>
    <w:rsid w:val="17E57CA9"/>
    <w:rsid w:val="18061CB9"/>
    <w:rsid w:val="18087C3C"/>
    <w:rsid w:val="185E7926"/>
    <w:rsid w:val="186440A3"/>
    <w:rsid w:val="18815BBC"/>
    <w:rsid w:val="18A22BD8"/>
    <w:rsid w:val="18B30121"/>
    <w:rsid w:val="194D4992"/>
    <w:rsid w:val="19597C05"/>
    <w:rsid w:val="19630A84"/>
    <w:rsid w:val="19A63DB2"/>
    <w:rsid w:val="19C36022"/>
    <w:rsid w:val="19E21A89"/>
    <w:rsid w:val="1A4F7624"/>
    <w:rsid w:val="1A6348DB"/>
    <w:rsid w:val="1A665E49"/>
    <w:rsid w:val="1A831275"/>
    <w:rsid w:val="1A9E69B0"/>
    <w:rsid w:val="1A9F0722"/>
    <w:rsid w:val="1AA0596C"/>
    <w:rsid w:val="1AE32ECD"/>
    <w:rsid w:val="1B062F68"/>
    <w:rsid w:val="1B1833B1"/>
    <w:rsid w:val="1B435D16"/>
    <w:rsid w:val="1B9B2559"/>
    <w:rsid w:val="1BAF3AB6"/>
    <w:rsid w:val="1BE3633F"/>
    <w:rsid w:val="1BF03A5D"/>
    <w:rsid w:val="1C476C60"/>
    <w:rsid w:val="1CB03FE0"/>
    <w:rsid w:val="1CE117AE"/>
    <w:rsid w:val="1CE73CE3"/>
    <w:rsid w:val="1D4440F8"/>
    <w:rsid w:val="1E0535F5"/>
    <w:rsid w:val="1E2776EA"/>
    <w:rsid w:val="1EBE46EA"/>
    <w:rsid w:val="1EC175FF"/>
    <w:rsid w:val="1F394F1A"/>
    <w:rsid w:val="1F427750"/>
    <w:rsid w:val="1F7A2D5A"/>
    <w:rsid w:val="1FA112A3"/>
    <w:rsid w:val="200A0BD5"/>
    <w:rsid w:val="20314CEE"/>
    <w:rsid w:val="20694A4E"/>
    <w:rsid w:val="20C003FB"/>
    <w:rsid w:val="21021BA7"/>
    <w:rsid w:val="21384A02"/>
    <w:rsid w:val="213A656E"/>
    <w:rsid w:val="2173322B"/>
    <w:rsid w:val="219208A9"/>
    <w:rsid w:val="21DA5EEC"/>
    <w:rsid w:val="21EE030B"/>
    <w:rsid w:val="22276BA3"/>
    <w:rsid w:val="225C0356"/>
    <w:rsid w:val="22846E7E"/>
    <w:rsid w:val="22D0616A"/>
    <w:rsid w:val="22E10ECA"/>
    <w:rsid w:val="22E310D9"/>
    <w:rsid w:val="231B417D"/>
    <w:rsid w:val="234C6B52"/>
    <w:rsid w:val="23976E15"/>
    <w:rsid w:val="23977A00"/>
    <w:rsid w:val="23B5528A"/>
    <w:rsid w:val="23B94892"/>
    <w:rsid w:val="23C92D48"/>
    <w:rsid w:val="24554A3A"/>
    <w:rsid w:val="24765FE4"/>
    <w:rsid w:val="24813286"/>
    <w:rsid w:val="2487427E"/>
    <w:rsid w:val="252643C5"/>
    <w:rsid w:val="259E3E7D"/>
    <w:rsid w:val="25AC730F"/>
    <w:rsid w:val="25B63B85"/>
    <w:rsid w:val="25F70FC9"/>
    <w:rsid w:val="261A23B4"/>
    <w:rsid w:val="2666654B"/>
    <w:rsid w:val="266E53E8"/>
    <w:rsid w:val="26702104"/>
    <w:rsid w:val="2695765F"/>
    <w:rsid w:val="26B4794D"/>
    <w:rsid w:val="26CA3EF0"/>
    <w:rsid w:val="26F65A2F"/>
    <w:rsid w:val="27020657"/>
    <w:rsid w:val="27451882"/>
    <w:rsid w:val="27512FFB"/>
    <w:rsid w:val="276460F3"/>
    <w:rsid w:val="2797123F"/>
    <w:rsid w:val="27B450A8"/>
    <w:rsid w:val="280E42B1"/>
    <w:rsid w:val="286B66AA"/>
    <w:rsid w:val="287700A8"/>
    <w:rsid w:val="28956DC7"/>
    <w:rsid w:val="28B77C3F"/>
    <w:rsid w:val="28E50F0C"/>
    <w:rsid w:val="28F519C1"/>
    <w:rsid w:val="28F92C9D"/>
    <w:rsid w:val="29223F2D"/>
    <w:rsid w:val="29455BCD"/>
    <w:rsid w:val="297A3E8D"/>
    <w:rsid w:val="29D1522B"/>
    <w:rsid w:val="29F1100D"/>
    <w:rsid w:val="2A2D1DAA"/>
    <w:rsid w:val="2A2E6B5F"/>
    <w:rsid w:val="2A3B0FD9"/>
    <w:rsid w:val="2A452B85"/>
    <w:rsid w:val="2A553515"/>
    <w:rsid w:val="2A6E7663"/>
    <w:rsid w:val="2AB54D85"/>
    <w:rsid w:val="2B2A4DA5"/>
    <w:rsid w:val="2B4D52E5"/>
    <w:rsid w:val="2BB4614D"/>
    <w:rsid w:val="2BB51529"/>
    <w:rsid w:val="2BC5234B"/>
    <w:rsid w:val="2BDC16B7"/>
    <w:rsid w:val="2C1722A2"/>
    <w:rsid w:val="2C19421F"/>
    <w:rsid w:val="2C2B1744"/>
    <w:rsid w:val="2C6572E0"/>
    <w:rsid w:val="2C725E30"/>
    <w:rsid w:val="2CBA3E3D"/>
    <w:rsid w:val="2CDB0CC3"/>
    <w:rsid w:val="2CF6181E"/>
    <w:rsid w:val="2CFD663C"/>
    <w:rsid w:val="2D4A16A3"/>
    <w:rsid w:val="2D6709D9"/>
    <w:rsid w:val="2D8A685B"/>
    <w:rsid w:val="2DAB5D61"/>
    <w:rsid w:val="2E714C39"/>
    <w:rsid w:val="2EB15996"/>
    <w:rsid w:val="2ECD187E"/>
    <w:rsid w:val="2F2148C9"/>
    <w:rsid w:val="2F236DF6"/>
    <w:rsid w:val="2F3523B0"/>
    <w:rsid w:val="2F787D80"/>
    <w:rsid w:val="2FA23358"/>
    <w:rsid w:val="2FA6410B"/>
    <w:rsid w:val="2FFA5233"/>
    <w:rsid w:val="30302B42"/>
    <w:rsid w:val="30511D49"/>
    <w:rsid w:val="305D6801"/>
    <w:rsid w:val="308C5DFF"/>
    <w:rsid w:val="309D0568"/>
    <w:rsid w:val="30A17913"/>
    <w:rsid w:val="30D532F1"/>
    <w:rsid w:val="310345E0"/>
    <w:rsid w:val="31184E5D"/>
    <w:rsid w:val="314400F6"/>
    <w:rsid w:val="314A512C"/>
    <w:rsid w:val="3163083B"/>
    <w:rsid w:val="318A774D"/>
    <w:rsid w:val="319206B5"/>
    <w:rsid w:val="31B35A94"/>
    <w:rsid w:val="31DC15BD"/>
    <w:rsid w:val="31DD21C3"/>
    <w:rsid w:val="32452FC5"/>
    <w:rsid w:val="32E45375"/>
    <w:rsid w:val="32EF213D"/>
    <w:rsid w:val="32F24BD2"/>
    <w:rsid w:val="33043A40"/>
    <w:rsid w:val="33671195"/>
    <w:rsid w:val="33792555"/>
    <w:rsid w:val="33944C18"/>
    <w:rsid w:val="33C1328F"/>
    <w:rsid w:val="33F231C8"/>
    <w:rsid w:val="33FC7FAB"/>
    <w:rsid w:val="340F73E6"/>
    <w:rsid w:val="3412119E"/>
    <w:rsid w:val="34942B05"/>
    <w:rsid w:val="349873DC"/>
    <w:rsid w:val="34E3295B"/>
    <w:rsid w:val="35292E04"/>
    <w:rsid w:val="35655D3C"/>
    <w:rsid w:val="358B5B44"/>
    <w:rsid w:val="35B743EA"/>
    <w:rsid w:val="362D551C"/>
    <w:rsid w:val="3638554B"/>
    <w:rsid w:val="3713692C"/>
    <w:rsid w:val="375D490D"/>
    <w:rsid w:val="37603344"/>
    <w:rsid w:val="37814154"/>
    <w:rsid w:val="37CE75B8"/>
    <w:rsid w:val="37DB1B79"/>
    <w:rsid w:val="37EB335B"/>
    <w:rsid w:val="37FA77C2"/>
    <w:rsid w:val="38681FBE"/>
    <w:rsid w:val="389820A0"/>
    <w:rsid w:val="38CA271F"/>
    <w:rsid w:val="38F657B5"/>
    <w:rsid w:val="390019F4"/>
    <w:rsid w:val="39172F32"/>
    <w:rsid w:val="391D0F0E"/>
    <w:rsid w:val="39930370"/>
    <w:rsid w:val="399400C2"/>
    <w:rsid w:val="39DB2962"/>
    <w:rsid w:val="39E04FFD"/>
    <w:rsid w:val="3A0655FA"/>
    <w:rsid w:val="3A135F4B"/>
    <w:rsid w:val="3A2761C5"/>
    <w:rsid w:val="3A5657A3"/>
    <w:rsid w:val="3A8448AA"/>
    <w:rsid w:val="3A89574F"/>
    <w:rsid w:val="3B161A7F"/>
    <w:rsid w:val="3B2131C7"/>
    <w:rsid w:val="3B550FCD"/>
    <w:rsid w:val="3B5C7A01"/>
    <w:rsid w:val="3B6706E4"/>
    <w:rsid w:val="3B8751A9"/>
    <w:rsid w:val="3BB11F30"/>
    <w:rsid w:val="3BE12C4C"/>
    <w:rsid w:val="3C192A70"/>
    <w:rsid w:val="3C2C3893"/>
    <w:rsid w:val="3C836BC3"/>
    <w:rsid w:val="3CCA40B5"/>
    <w:rsid w:val="3CCC336B"/>
    <w:rsid w:val="3D26107F"/>
    <w:rsid w:val="3D7D4CCD"/>
    <w:rsid w:val="3DA2453E"/>
    <w:rsid w:val="3DA56ED9"/>
    <w:rsid w:val="3DB956A2"/>
    <w:rsid w:val="3DC321ED"/>
    <w:rsid w:val="3DCE292E"/>
    <w:rsid w:val="3DDD2F89"/>
    <w:rsid w:val="3E047890"/>
    <w:rsid w:val="3E203312"/>
    <w:rsid w:val="3E21748D"/>
    <w:rsid w:val="3E4C055D"/>
    <w:rsid w:val="3EE14075"/>
    <w:rsid w:val="3F115584"/>
    <w:rsid w:val="3F301D6B"/>
    <w:rsid w:val="3FC05B70"/>
    <w:rsid w:val="3FC712DF"/>
    <w:rsid w:val="40271F5C"/>
    <w:rsid w:val="406B2EE1"/>
    <w:rsid w:val="40802866"/>
    <w:rsid w:val="40864277"/>
    <w:rsid w:val="40872C3D"/>
    <w:rsid w:val="40F14059"/>
    <w:rsid w:val="412A5876"/>
    <w:rsid w:val="4198255D"/>
    <w:rsid w:val="41B94E35"/>
    <w:rsid w:val="41C60F9A"/>
    <w:rsid w:val="41EB6C5F"/>
    <w:rsid w:val="41F103DA"/>
    <w:rsid w:val="41F8770C"/>
    <w:rsid w:val="42075EF8"/>
    <w:rsid w:val="42EB01A5"/>
    <w:rsid w:val="433E6956"/>
    <w:rsid w:val="43456AF8"/>
    <w:rsid w:val="437D026C"/>
    <w:rsid w:val="438F22F2"/>
    <w:rsid w:val="439D2AEF"/>
    <w:rsid w:val="43BD0E61"/>
    <w:rsid w:val="43D23785"/>
    <w:rsid w:val="43DB61FE"/>
    <w:rsid w:val="44117A48"/>
    <w:rsid w:val="443D58AA"/>
    <w:rsid w:val="445402FA"/>
    <w:rsid w:val="44F86E1B"/>
    <w:rsid w:val="45732625"/>
    <w:rsid w:val="45D86EA7"/>
    <w:rsid w:val="462D078B"/>
    <w:rsid w:val="46435203"/>
    <w:rsid w:val="464E7BE3"/>
    <w:rsid w:val="465B25FB"/>
    <w:rsid w:val="465F7B90"/>
    <w:rsid w:val="4666118A"/>
    <w:rsid w:val="46BF4B9C"/>
    <w:rsid w:val="46EC63E5"/>
    <w:rsid w:val="46FE3DB6"/>
    <w:rsid w:val="470E277E"/>
    <w:rsid w:val="47103B16"/>
    <w:rsid w:val="47B6344E"/>
    <w:rsid w:val="47C03E21"/>
    <w:rsid w:val="47CB7671"/>
    <w:rsid w:val="47DD4210"/>
    <w:rsid w:val="48027891"/>
    <w:rsid w:val="48872F83"/>
    <w:rsid w:val="48C53821"/>
    <w:rsid w:val="48E501D6"/>
    <w:rsid w:val="498203D3"/>
    <w:rsid w:val="49A1072F"/>
    <w:rsid w:val="49AC5F8F"/>
    <w:rsid w:val="49BA74AC"/>
    <w:rsid w:val="49EC76C1"/>
    <w:rsid w:val="49F756D7"/>
    <w:rsid w:val="4A2C2019"/>
    <w:rsid w:val="4A5F6765"/>
    <w:rsid w:val="4A993A56"/>
    <w:rsid w:val="4AA53061"/>
    <w:rsid w:val="4AB63CEA"/>
    <w:rsid w:val="4ABA33B6"/>
    <w:rsid w:val="4AF550D1"/>
    <w:rsid w:val="4B057A9D"/>
    <w:rsid w:val="4B0B5503"/>
    <w:rsid w:val="4B476AAD"/>
    <w:rsid w:val="4B566DA7"/>
    <w:rsid w:val="4BD672DA"/>
    <w:rsid w:val="4BE34F89"/>
    <w:rsid w:val="4C1056FF"/>
    <w:rsid w:val="4C146862"/>
    <w:rsid w:val="4C2C78E3"/>
    <w:rsid w:val="4C397D8C"/>
    <w:rsid w:val="4C4606D3"/>
    <w:rsid w:val="4C547C35"/>
    <w:rsid w:val="4C8725A3"/>
    <w:rsid w:val="4C9C64EA"/>
    <w:rsid w:val="4CE10458"/>
    <w:rsid w:val="4D36742D"/>
    <w:rsid w:val="4D5E71F2"/>
    <w:rsid w:val="4D9B6F6B"/>
    <w:rsid w:val="4DBC1F35"/>
    <w:rsid w:val="4E062845"/>
    <w:rsid w:val="4E373486"/>
    <w:rsid w:val="4E944E6D"/>
    <w:rsid w:val="4F1C3A1A"/>
    <w:rsid w:val="4F37241B"/>
    <w:rsid w:val="4F676DBD"/>
    <w:rsid w:val="4F753FC2"/>
    <w:rsid w:val="4F906206"/>
    <w:rsid w:val="4FA734F6"/>
    <w:rsid w:val="4FA84DCF"/>
    <w:rsid w:val="4FB47BBA"/>
    <w:rsid w:val="50846E54"/>
    <w:rsid w:val="50EA5B67"/>
    <w:rsid w:val="51471FE9"/>
    <w:rsid w:val="51781025"/>
    <w:rsid w:val="51A52CE0"/>
    <w:rsid w:val="51B97355"/>
    <w:rsid w:val="52145D43"/>
    <w:rsid w:val="52271ADF"/>
    <w:rsid w:val="524E6C8F"/>
    <w:rsid w:val="52650DED"/>
    <w:rsid w:val="528763D3"/>
    <w:rsid w:val="52BF03A6"/>
    <w:rsid w:val="52DB0270"/>
    <w:rsid w:val="53392401"/>
    <w:rsid w:val="5341328C"/>
    <w:rsid w:val="534E5CC9"/>
    <w:rsid w:val="54022B5F"/>
    <w:rsid w:val="54172B76"/>
    <w:rsid w:val="54192435"/>
    <w:rsid w:val="54911BB3"/>
    <w:rsid w:val="54DA0EF3"/>
    <w:rsid w:val="54ED53AB"/>
    <w:rsid w:val="553E1D1B"/>
    <w:rsid w:val="55683E4F"/>
    <w:rsid w:val="556F4902"/>
    <w:rsid w:val="55876B7B"/>
    <w:rsid w:val="560A7088"/>
    <w:rsid w:val="562C01B3"/>
    <w:rsid w:val="563D5A51"/>
    <w:rsid w:val="566978BE"/>
    <w:rsid w:val="56717364"/>
    <w:rsid w:val="56793962"/>
    <w:rsid w:val="56CF31CD"/>
    <w:rsid w:val="576E0BAE"/>
    <w:rsid w:val="579730CB"/>
    <w:rsid w:val="57A06424"/>
    <w:rsid w:val="57AA4733"/>
    <w:rsid w:val="57D32781"/>
    <w:rsid w:val="57DC502C"/>
    <w:rsid w:val="582A60AF"/>
    <w:rsid w:val="5884235E"/>
    <w:rsid w:val="58D43F98"/>
    <w:rsid w:val="594548EC"/>
    <w:rsid w:val="594A2AEB"/>
    <w:rsid w:val="595130EE"/>
    <w:rsid w:val="596107B1"/>
    <w:rsid w:val="59AD53BD"/>
    <w:rsid w:val="59D617D6"/>
    <w:rsid w:val="5A1737E2"/>
    <w:rsid w:val="5A2C10EF"/>
    <w:rsid w:val="5A302A17"/>
    <w:rsid w:val="5A49520F"/>
    <w:rsid w:val="5A5B4CFD"/>
    <w:rsid w:val="5A8E661B"/>
    <w:rsid w:val="5AB362C5"/>
    <w:rsid w:val="5AB70E4C"/>
    <w:rsid w:val="5ABE7FDD"/>
    <w:rsid w:val="5B104DD5"/>
    <w:rsid w:val="5B5E1CA7"/>
    <w:rsid w:val="5B5F1945"/>
    <w:rsid w:val="5B616FC2"/>
    <w:rsid w:val="5BD91E8E"/>
    <w:rsid w:val="5BF330B4"/>
    <w:rsid w:val="5C0E2057"/>
    <w:rsid w:val="5C2A6C04"/>
    <w:rsid w:val="5C3B7ECA"/>
    <w:rsid w:val="5C4D5CFC"/>
    <w:rsid w:val="5CA27A53"/>
    <w:rsid w:val="5CAE6A69"/>
    <w:rsid w:val="5CE75368"/>
    <w:rsid w:val="5CFB4B0D"/>
    <w:rsid w:val="5D6A43BC"/>
    <w:rsid w:val="5D7148A9"/>
    <w:rsid w:val="5DA1621D"/>
    <w:rsid w:val="5E1B5674"/>
    <w:rsid w:val="5E2E49CE"/>
    <w:rsid w:val="5E640664"/>
    <w:rsid w:val="5EDC2437"/>
    <w:rsid w:val="5EFE263F"/>
    <w:rsid w:val="5F4403B8"/>
    <w:rsid w:val="5F533689"/>
    <w:rsid w:val="5F6D68FC"/>
    <w:rsid w:val="5FA34566"/>
    <w:rsid w:val="5FA665A1"/>
    <w:rsid w:val="5FE7378E"/>
    <w:rsid w:val="5FE86D80"/>
    <w:rsid w:val="602C40F1"/>
    <w:rsid w:val="605A2705"/>
    <w:rsid w:val="607D094A"/>
    <w:rsid w:val="609C5D62"/>
    <w:rsid w:val="60B9507A"/>
    <w:rsid w:val="60DD5682"/>
    <w:rsid w:val="614A36DE"/>
    <w:rsid w:val="615D7818"/>
    <w:rsid w:val="61771384"/>
    <w:rsid w:val="6188172F"/>
    <w:rsid w:val="619341ED"/>
    <w:rsid w:val="61D400A1"/>
    <w:rsid w:val="61D47070"/>
    <w:rsid w:val="62055CEF"/>
    <w:rsid w:val="626F25F6"/>
    <w:rsid w:val="62877313"/>
    <w:rsid w:val="62927E95"/>
    <w:rsid w:val="63090032"/>
    <w:rsid w:val="63343EC4"/>
    <w:rsid w:val="639A281B"/>
    <w:rsid w:val="639E2B57"/>
    <w:rsid w:val="63BC0700"/>
    <w:rsid w:val="63C152DC"/>
    <w:rsid w:val="63C761C6"/>
    <w:rsid w:val="640B1B04"/>
    <w:rsid w:val="642A6572"/>
    <w:rsid w:val="64395C36"/>
    <w:rsid w:val="644C7EDA"/>
    <w:rsid w:val="6489629C"/>
    <w:rsid w:val="648B0A8C"/>
    <w:rsid w:val="64EC104A"/>
    <w:rsid w:val="654B7457"/>
    <w:rsid w:val="65876E75"/>
    <w:rsid w:val="658C22CC"/>
    <w:rsid w:val="659A5242"/>
    <w:rsid w:val="65F418DB"/>
    <w:rsid w:val="66060211"/>
    <w:rsid w:val="66124E24"/>
    <w:rsid w:val="66332450"/>
    <w:rsid w:val="66907359"/>
    <w:rsid w:val="66E55B0F"/>
    <w:rsid w:val="66EE1A6C"/>
    <w:rsid w:val="67B6134C"/>
    <w:rsid w:val="67C73484"/>
    <w:rsid w:val="67FD1DAB"/>
    <w:rsid w:val="685961B1"/>
    <w:rsid w:val="685E529A"/>
    <w:rsid w:val="68712330"/>
    <w:rsid w:val="68BE0CBC"/>
    <w:rsid w:val="68C330B6"/>
    <w:rsid w:val="68F10E11"/>
    <w:rsid w:val="690C7EE6"/>
    <w:rsid w:val="696448B9"/>
    <w:rsid w:val="696A6892"/>
    <w:rsid w:val="69796AD5"/>
    <w:rsid w:val="698E7481"/>
    <w:rsid w:val="69907732"/>
    <w:rsid w:val="69E860B3"/>
    <w:rsid w:val="6A0027CE"/>
    <w:rsid w:val="6A166967"/>
    <w:rsid w:val="6A301497"/>
    <w:rsid w:val="6A9E4A45"/>
    <w:rsid w:val="6AD646FA"/>
    <w:rsid w:val="6B07083C"/>
    <w:rsid w:val="6B752F12"/>
    <w:rsid w:val="6B8203BC"/>
    <w:rsid w:val="6BDF55AB"/>
    <w:rsid w:val="6BE737E2"/>
    <w:rsid w:val="6BEA070D"/>
    <w:rsid w:val="6C472153"/>
    <w:rsid w:val="6C53360D"/>
    <w:rsid w:val="6C804608"/>
    <w:rsid w:val="6C8B2DA7"/>
    <w:rsid w:val="6CAC4478"/>
    <w:rsid w:val="6CF7668E"/>
    <w:rsid w:val="6D03793C"/>
    <w:rsid w:val="6D6D5BF9"/>
    <w:rsid w:val="6DCD134A"/>
    <w:rsid w:val="6DE52162"/>
    <w:rsid w:val="6E11011E"/>
    <w:rsid w:val="6E117F55"/>
    <w:rsid w:val="6E6F2EE6"/>
    <w:rsid w:val="6EBA65BB"/>
    <w:rsid w:val="6EBC0734"/>
    <w:rsid w:val="6EC40504"/>
    <w:rsid w:val="6F060E0F"/>
    <w:rsid w:val="6F247ED0"/>
    <w:rsid w:val="6F25532B"/>
    <w:rsid w:val="6F6C2B1D"/>
    <w:rsid w:val="6F8C57B4"/>
    <w:rsid w:val="6F997DD3"/>
    <w:rsid w:val="6FA10CBB"/>
    <w:rsid w:val="700107C2"/>
    <w:rsid w:val="70126B8A"/>
    <w:rsid w:val="7015387B"/>
    <w:rsid w:val="702E1ABF"/>
    <w:rsid w:val="70763748"/>
    <w:rsid w:val="70A83409"/>
    <w:rsid w:val="70B11568"/>
    <w:rsid w:val="70D171F6"/>
    <w:rsid w:val="70FC17F2"/>
    <w:rsid w:val="7116279A"/>
    <w:rsid w:val="71B75EA7"/>
    <w:rsid w:val="71DA1BD2"/>
    <w:rsid w:val="72016815"/>
    <w:rsid w:val="721F0CB9"/>
    <w:rsid w:val="72241A7A"/>
    <w:rsid w:val="726E3B90"/>
    <w:rsid w:val="72774E38"/>
    <w:rsid w:val="72E43211"/>
    <w:rsid w:val="72FA17C4"/>
    <w:rsid w:val="734A4C99"/>
    <w:rsid w:val="735A3EA7"/>
    <w:rsid w:val="736D2D1F"/>
    <w:rsid w:val="737D0843"/>
    <w:rsid w:val="73850060"/>
    <w:rsid w:val="7399317D"/>
    <w:rsid w:val="73C22338"/>
    <w:rsid w:val="73E21C5C"/>
    <w:rsid w:val="74057849"/>
    <w:rsid w:val="741A0E59"/>
    <w:rsid w:val="742E5746"/>
    <w:rsid w:val="747D6C6E"/>
    <w:rsid w:val="748C186E"/>
    <w:rsid w:val="748E66A4"/>
    <w:rsid w:val="74B143DD"/>
    <w:rsid w:val="74C06CFA"/>
    <w:rsid w:val="74D42B00"/>
    <w:rsid w:val="74D4736D"/>
    <w:rsid w:val="752E07F8"/>
    <w:rsid w:val="75796E71"/>
    <w:rsid w:val="758B5530"/>
    <w:rsid w:val="760A100A"/>
    <w:rsid w:val="766E02EC"/>
    <w:rsid w:val="76A650A6"/>
    <w:rsid w:val="76D16AB1"/>
    <w:rsid w:val="77251641"/>
    <w:rsid w:val="77252C55"/>
    <w:rsid w:val="77671D97"/>
    <w:rsid w:val="77AE17FA"/>
    <w:rsid w:val="77E51F05"/>
    <w:rsid w:val="77F55DA2"/>
    <w:rsid w:val="78DA7590"/>
    <w:rsid w:val="78E90372"/>
    <w:rsid w:val="79044B1D"/>
    <w:rsid w:val="79413A82"/>
    <w:rsid w:val="79571434"/>
    <w:rsid w:val="796818A0"/>
    <w:rsid w:val="7A0170A0"/>
    <w:rsid w:val="7A04063C"/>
    <w:rsid w:val="7A0A3C20"/>
    <w:rsid w:val="7A0D6693"/>
    <w:rsid w:val="7A260E0D"/>
    <w:rsid w:val="7AB67B89"/>
    <w:rsid w:val="7ABE2193"/>
    <w:rsid w:val="7ABE7CE7"/>
    <w:rsid w:val="7ACA3A09"/>
    <w:rsid w:val="7AEC5B9D"/>
    <w:rsid w:val="7AEC7154"/>
    <w:rsid w:val="7B125910"/>
    <w:rsid w:val="7BCB45B5"/>
    <w:rsid w:val="7C2D5C29"/>
    <w:rsid w:val="7C7B6D8E"/>
    <w:rsid w:val="7C7D769B"/>
    <w:rsid w:val="7C7E46D6"/>
    <w:rsid w:val="7CC436BD"/>
    <w:rsid w:val="7CD6006E"/>
    <w:rsid w:val="7CEA6331"/>
    <w:rsid w:val="7D28110E"/>
    <w:rsid w:val="7D626D67"/>
    <w:rsid w:val="7D881B83"/>
    <w:rsid w:val="7D8E68B0"/>
    <w:rsid w:val="7DBC69E1"/>
    <w:rsid w:val="7DC306E6"/>
    <w:rsid w:val="7DFE6035"/>
    <w:rsid w:val="7E5E1702"/>
    <w:rsid w:val="7E6F1D7A"/>
    <w:rsid w:val="7E820AAE"/>
    <w:rsid w:val="7EC12891"/>
    <w:rsid w:val="7F5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5"/>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42"/>
    <w:qFormat/>
    <w:uiPriority w:val="0"/>
    <w:pPr>
      <w:keepNext/>
      <w:keepLines/>
      <w:spacing w:before="340" w:after="330" w:line="360" w:lineRule="auto"/>
      <w:jc w:val="center"/>
      <w:outlineLvl w:val="0"/>
    </w:pPr>
    <w:rPr>
      <w:b/>
      <w:bCs/>
      <w:kern w:val="44"/>
      <w:sz w:val="28"/>
      <w:szCs w:val="44"/>
    </w:rPr>
  </w:style>
  <w:style w:type="paragraph" w:styleId="6">
    <w:name w:val="heading 2"/>
    <w:basedOn w:val="1"/>
    <w:next w:val="7"/>
    <w:link w:val="72"/>
    <w:unhideWhenUsed/>
    <w:qFormat/>
    <w:uiPriority w:val="0"/>
    <w:pPr>
      <w:keepNext/>
      <w:keepLines/>
      <w:spacing w:before="140" w:after="140" w:line="360" w:lineRule="auto"/>
      <w:ind w:left="200" w:leftChars="200"/>
      <w:jc w:val="left"/>
      <w:outlineLvl w:val="1"/>
    </w:pPr>
    <w:rPr>
      <w:rFonts w:ascii="Cambria" w:hAnsi="Cambria"/>
      <w:b/>
      <w:bCs/>
      <w:sz w:val="24"/>
      <w:szCs w:val="32"/>
    </w:rPr>
  </w:style>
  <w:style w:type="paragraph" w:styleId="8">
    <w:name w:val="heading 3"/>
    <w:basedOn w:val="1"/>
    <w:next w:val="1"/>
    <w:link w:val="45"/>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9">
    <w:name w:val="heading 4"/>
    <w:basedOn w:val="1"/>
    <w:next w:val="1"/>
    <w:link w:val="46"/>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10">
    <w:name w:val="heading 5"/>
    <w:basedOn w:val="1"/>
    <w:next w:val="1"/>
    <w:link w:val="47"/>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11">
    <w:name w:val="heading 6"/>
    <w:basedOn w:val="1"/>
    <w:next w:val="1"/>
    <w:link w:val="48"/>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12">
    <w:name w:val="heading 7"/>
    <w:basedOn w:val="1"/>
    <w:next w:val="1"/>
    <w:link w:val="49"/>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13">
    <w:name w:val="heading 8"/>
    <w:basedOn w:val="1"/>
    <w:next w:val="1"/>
    <w:link w:val="50"/>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4">
    <w:name w:val="heading 9"/>
    <w:basedOn w:val="1"/>
    <w:next w:val="1"/>
    <w:link w:val="51"/>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1"/>
    <w:qFormat/>
    <w:uiPriority w:val="0"/>
    <w:pPr>
      <w:adjustRightInd w:val="0"/>
      <w:spacing w:line="420" w:lineRule="atLeast"/>
      <w:jc w:val="left"/>
      <w:textAlignment w:val="baseline"/>
    </w:pPr>
    <w:rPr>
      <w:kern w:val="0"/>
    </w:rPr>
  </w:style>
  <w:style w:type="paragraph" w:styleId="3">
    <w:name w:val="Plain Text"/>
    <w:basedOn w:val="1"/>
    <w:next w:val="4"/>
    <w:link w:val="58"/>
    <w:qFormat/>
    <w:uiPriority w:val="0"/>
    <w:rPr>
      <w:rFonts w:ascii="宋体" w:hAnsi="Courier New"/>
      <w:szCs w:val="21"/>
    </w:rPr>
  </w:style>
  <w:style w:type="paragraph" w:styleId="4">
    <w:name w:val="List Number 5"/>
    <w:basedOn w:val="1"/>
    <w:semiHidden/>
    <w:unhideWhenUsed/>
    <w:qFormat/>
    <w:uiPriority w:val="99"/>
    <w:pPr>
      <w:numPr>
        <w:ilvl w:val="0"/>
        <w:numId w:val="1"/>
      </w:numPr>
    </w:pPr>
  </w:style>
  <w:style w:type="paragraph" w:styleId="7">
    <w:name w:val="Normal Indent"/>
    <w:basedOn w:val="1"/>
    <w:qFormat/>
    <w:uiPriority w:val="0"/>
    <w:pPr>
      <w:widowControl/>
      <w:ind w:firstLine="420"/>
      <w:jc w:val="left"/>
    </w:pPr>
    <w:rPr>
      <w:kern w:val="0"/>
      <w:sz w:val="20"/>
      <w:szCs w:val="20"/>
    </w:rPr>
  </w:style>
  <w:style w:type="paragraph" w:styleId="15">
    <w:name w:val="table of authorities"/>
    <w:basedOn w:val="1"/>
    <w:next w:val="1"/>
    <w:qFormat/>
    <w:uiPriority w:val="0"/>
    <w:pPr>
      <w:ind w:left="420" w:leftChars="200"/>
    </w:pPr>
  </w:style>
  <w:style w:type="paragraph" w:styleId="16">
    <w:name w:val="Document Map"/>
    <w:basedOn w:val="1"/>
    <w:link w:val="54"/>
    <w:semiHidden/>
    <w:unhideWhenUsed/>
    <w:qFormat/>
    <w:uiPriority w:val="99"/>
    <w:rPr>
      <w:rFonts w:ascii="宋体"/>
      <w:sz w:val="18"/>
      <w:szCs w:val="18"/>
    </w:rPr>
  </w:style>
  <w:style w:type="paragraph" w:styleId="17">
    <w:name w:val="annotation text"/>
    <w:basedOn w:val="1"/>
    <w:link w:val="63"/>
    <w:qFormat/>
    <w:uiPriority w:val="0"/>
    <w:pPr>
      <w:jc w:val="left"/>
    </w:pPr>
    <w:rPr>
      <w:rFonts w:ascii="Times New Roman" w:hAnsi="Times New Roman"/>
      <w:szCs w:val="24"/>
    </w:rPr>
  </w:style>
  <w:style w:type="paragraph" w:styleId="18">
    <w:name w:val="Body Text"/>
    <w:basedOn w:val="1"/>
    <w:next w:val="19"/>
    <w:qFormat/>
    <w:uiPriority w:val="1"/>
    <w:rPr>
      <w:sz w:val="28"/>
      <w:szCs w:val="28"/>
    </w:rPr>
  </w:style>
  <w:style w:type="paragraph" w:styleId="19">
    <w:name w:val="Body Text 2"/>
    <w:basedOn w:val="1"/>
    <w:unhideWhenUsed/>
    <w:qFormat/>
    <w:uiPriority w:val="0"/>
    <w:pPr>
      <w:spacing w:after="120" w:line="480" w:lineRule="auto"/>
      <w:ind w:right="240"/>
      <w:jc w:val="left"/>
    </w:pPr>
    <w:rPr>
      <w:rFonts w:ascii="Times New Roman" w:hAnsi="Times New Roman"/>
    </w:rPr>
  </w:style>
  <w:style w:type="paragraph" w:styleId="20">
    <w:name w:val="Body Text Indent"/>
    <w:basedOn w:val="1"/>
    <w:link w:val="62"/>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21">
    <w:name w:val="toc 3"/>
    <w:basedOn w:val="1"/>
    <w:next w:val="1"/>
    <w:unhideWhenUsed/>
    <w:qFormat/>
    <w:uiPriority w:val="39"/>
    <w:pPr>
      <w:ind w:left="840" w:leftChars="400"/>
    </w:pPr>
  </w:style>
  <w:style w:type="paragraph" w:styleId="22">
    <w:name w:val="Balloon Text"/>
    <w:basedOn w:val="1"/>
    <w:link w:val="53"/>
    <w:unhideWhenUsed/>
    <w:qFormat/>
    <w:uiPriority w:val="0"/>
    <w:rPr>
      <w:sz w:val="18"/>
      <w:szCs w:val="18"/>
    </w:rPr>
  </w:style>
  <w:style w:type="paragraph" w:styleId="23">
    <w:name w:val="footer"/>
    <w:basedOn w:val="1"/>
    <w:next w:val="1"/>
    <w:link w:val="44"/>
    <w:unhideWhenUsed/>
    <w:qFormat/>
    <w:uiPriority w:val="99"/>
    <w:pPr>
      <w:tabs>
        <w:tab w:val="center" w:pos="4153"/>
        <w:tab w:val="right" w:pos="8306"/>
      </w:tabs>
      <w:snapToGrid w:val="0"/>
      <w:jc w:val="left"/>
    </w:pPr>
    <w:rPr>
      <w:sz w:val="18"/>
      <w:szCs w:val="18"/>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unhideWhenUsed/>
    <w:qFormat/>
    <w:uiPriority w:val="39"/>
  </w:style>
  <w:style w:type="paragraph" w:styleId="26">
    <w:name w:val="toc 2"/>
    <w:basedOn w:val="1"/>
    <w:next w:val="1"/>
    <w:qFormat/>
    <w:uiPriority w:val="39"/>
    <w:pPr>
      <w:ind w:left="420" w:leftChars="200"/>
    </w:pPr>
    <w:rPr>
      <w:rFonts w:ascii="Times New Roman" w:hAnsi="Times New Roman"/>
      <w:szCs w:val="24"/>
    </w:rPr>
  </w:style>
  <w:style w:type="paragraph" w:styleId="27">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9">
    <w:name w:val="annotation subject"/>
    <w:basedOn w:val="17"/>
    <w:next w:val="17"/>
    <w:link w:val="64"/>
    <w:qFormat/>
    <w:uiPriority w:val="0"/>
    <w:rPr>
      <w:b/>
      <w:bCs/>
    </w:rPr>
  </w:style>
  <w:style w:type="paragraph" w:styleId="30">
    <w:name w:val="Body Text First Indent"/>
    <w:basedOn w:val="18"/>
    <w:next w:val="31"/>
    <w:qFormat/>
    <w:uiPriority w:val="99"/>
    <w:pPr>
      <w:ind w:firstLine="200" w:firstLineChars="200"/>
      <w:jc w:val="both"/>
    </w:pPr>
  </w:style>
  <w:style w:type="paragraph" w:styleId="31">
    <w:name w:val="Body Text First Indent 2"/>
    <w:basedOn w:val="20"/>
    <w:next w:val="1"/>
    <w:semiHidden/>
    <w:unhideWhenUsed/>
    <w:qFormat/>
    <w:uiPriority w:val="99"/>
    <w:pPr>
      <w:ind w:firstLine="420" w:firstLineChars="200"/>
    </w:pPr>
  </w:style>
  <w:style w:type="table" w:styleId="33">
    <w:name w:val="Table Grid"/>
    <w:basedOn w:val="32"/>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FollowedHyperlink"/>
    <w:basedOn w:val="34"/>
    <w:qFormat/>
    <w:uiPriority w:val="0"/>
    <w:rPr>
      <w:color w:val="800080"/>
      <w:u w:val="single"/>
    </w:rPr>
  </w:style>
  <w:style w:type="character" w:styleId="37">
    <w:name w:val="Hyperlink"/>
    <w:basedOn w:val="34"/>
    <w:unhideWhenUsed/>
    <w:qFormat/>
    <w:uiPriority w:val="99"/>
    <w:rPr>
      <w:color w:val="0000FF"/>
      <w:u w:val="single"/>
    </w:rPr>
  </w:style>
  <w:style w:type="character" w:styleId="38">
    <w:name w:val="annotation reference"/>
    <w:basedOn w:val="34"/>
    <w:qFormat/>
    <w:uiPriority w:val="0"/>
    <w:rPr>
      <w:sz w:val="21"/>
      <w:szCs w:val="21"/>
    </w:rPr>
  </w:style>
  <w:style w:type="paragraph" w:customStyle="1" w:styleId="39">
    <w:name w:val="TableOfAuthoring"/>
    <w:basedOn w:val="1"/>
    <w:next w:val="1"/>
    <w:qFormat/>
    <w:uiPriority w:val="0"/>
    <w:pPr>
      <w:ind w:left="420" w:leftChars="200"/>
      <w:jc w:val="both"/>
      <w:textAlignment w:val="baseline"/>
    </w:pPr>
  </w:style>
  <w:style w:type="paragraph" w:customStyle="1" w:styleId="40">
    <w:name w:val="首行缩进"/>
    <w:next w:val="1"/>
    <w:qFormat/>
    <w:uiPriority w:val="0"/>
    <w:pPr>
      <w:widowControl w:val="0"/>
      <w:adjustRightInd w:val="0"/>
      <w:spacing w:line="360" w:lineRule="atLeast"/>
      <w:ind w:firstLine="480" w:firstLineChars="200"/>
    </w:pPr>
    <w:rPr>
      <w:rFonts w:ascii="Times New Roman" w:hAnsi="Times New Roman" w:eastAsia="宋体" w:cs="Times New Roman"/>
      <w:sz w:val="24"/>
      <w:lang w:val="zh-CN" w:eastAsia="zh-CN" w:bidi="ar-SA"/>
    </w:rPr>
  </w:style>
  <w:style w:type="character" w:customStyle="1" w:styleId="41">
    <w:name w:val="标题 2 Char"/>
    <w:basedOn w:val="34"/>
    <w:link w:val="6"/>
    <w:qFormat/>
    <w:uiPriority w:val="0"/>
    <w:rPr>
      <w:rFonts w:ascii="Cambria" w:hAnsi="Cambria" w:eastAsia="宋体" w:cs="Times New Roman"/>
      <w:b/>
      <w:bCs/>
      <w:sz w:val="24"/>
      <w:szCs w:val="32"/>
    </w:rPr>
  </w:style>
  <w:style w:type="character" w:customStyle="1" w:styleId="42">
    <w:name w:val="标题 1 Char"/>
    <w:basedOn w:val="34"/>
    <w:link w:val="5"/>
    <w:qFormat/>
    <w:uiPriority w:val="0"/>
    <w:rPr>
      <w:rFonts w:ascii="Calibri" w:hAnsi="Calibri" w:eastAsia="宋体" w:cs="Times New Roman"/>
      <w:b/>
      <w:bCs/>
      <w:kern w:val="44"/>
      <w:sz w:val="28"/>
      <w:szCs w:val="44"/>
    </w:rPr>
  </w:style>
  <w:style w:type="character" w:customStyle="1" w:styleId="43">
    <w:name w:val="页眉 Char"/>
    <w:basedOn w:val="34"/>
    <w:link w:val="24"/>
    <w:qFormat/>
    <w:uiPriority w:val="99"/>
    <w:rPr>
      <w:sz w:val="18"/>
      <w:szCs w:val="18"/>
    </w:rPr>
  </w:style>
  <w:style w:type="character" w:customStyle="1" w:styleId="44">
    <w:name w:val="页脚 Char"/>
    <w:basedOn w:val="34"/>
    <w:link w:val="23"/>
    <w:qFormat/>
    <w:uiPriority w:val="99"/>
    <w:rPr>
      <w:sz w:val="18"/>
      <w:szCs w:val="18"/>
    </w:rPr>
  </w:style>
  <w:style w:type="character" w:customStyle="1" w:styleId="45">
    <w:name w:val="标题 3 Char"/>
    <w:basedOn w:val="34"/>
    <w:link w:val="8"/>
    <w:qFormat/>
    <w:uiPriority w:val="0"/>
    <w:rPr>
      <w:rFonts w:ascii="Times New Roman" w:hAnsi="Times New Roman" w:eastAsia="宋体" w:cs="Times New Roman"/>
      <w:b/>
      <w:bCs/>
      <w:kern w:val="0"/>
      <w:sz w:val="32"/>
      <w:szCs w:val="32"/>
    </w:rPr>
  </w:style>
  <w:style w:type="character" w:customStyle="1" w:styleId="46">
    <w:name w:val="标题 4 Char"/>
    <w:basedOn w:val="34"/>
    <w:link w:val="9"/>
    <w:qFormat/>
    <w:uiPriority w:val="0"/>
    <w:rPr>
      <w:rFonts w:ascii="Arial" w:hAnsi="Arial" w:eastAsia="黑体" w:cs="Times New Roman"/>
      <w:b/>
      <w:bCs/>
      <w:kern w:val="0"/>
      <w:sz w:val="28"/>
      <w:szCs w:val="28"/>
    </w:rPr>
  </w:style>
  <w:style w:type="character" w:customStyle="1" w:styleId="47">
    <w:name w:val="标题 5 Char"/>
    <w:basedOn w:val="34"/>
    <w:link w:val="10"/>
    <w:qFormat/>
    <w:uiPriority w:val="0"/>
    <w:rPr>
      <w:rFonts w:ascii="Times New Roman" w:hAnsi="Times New Roman" w:eastAsia="宋体" w:cs="Times New Roman"/>
      <w:b/>
      <w:bCs/>
      <w:kern w:val="0"/>
      <w:sz w:val="28"/>
      <w:szCs w:val="28"/>
    </w:rPr>
  </w:style>
  <w:style w:type="character" w:customStyle="1" w:styleId="48">
    <w:name w:val="标题 6 Char"/>
    <w:basedOn w:val="34"/>
    <w:link w:val="11"/>
    <w:qFormat/>
    <w:uiPriority w:val="0"/>
    <w:rPr>
      <w:rFonts w:ascii="Arial" w:hAnsi="Arial" w:eastAsia="黑体" w:cs="Times New Roman"/>
      <w:b/>
      <w:bCs/>
      <w:kern w:val="0"/>
      <w:sz w:val="24"/>
      <w:szCs w:val="24"/>
    </w:rPr>
  </w:style>
  <w:style w:type="character" w:customStyle="1" w:styleId="49">
    <w:name w:val="标题 7 Char"/>
    <w:basedOn w:val="34"/>
    <w:link w:val="12"/>
    <w:qFormat/>
    <w:uiPriority w:val="0"/>
    <w:rPr>
      <w:rFonts w:ascii="Times New Roman" w:hAnsi="Times New Roman" w:eastAsia="宋体" w:cs="Times New Roman"/>
      <w:b/>
      <w:bCs/>
      <w:kern w:val="0"/>
      <w:sz w:val="24"/>
      <w:szCs w:val="24"/>
    </w:rPr>
  </w:style>
  <w:style w:type="character" w:customStyle="1" w:styleId="50">
    <w:name w:val="标题 8 Char"/>
    <w:basedOn w:val="34"/>
    <w:link w:val="13"/>
    <w:qFormat/>
    <w:uiPriority w:val="0"/>
    <w:rPr>
      <w:rFonts w:ascii="Arial" w:hAnsi="Arial" w:eastAsia="黑体" w:cs="Times New Roman"/>
      <w:kern w:val="0"/>
      <w:sz w:val="24"/>
      <w:szCs w:val="24"/>
    </w:rPr>
  </w:style>
  <w:style w:type="character" w:customStyle="1" w:styleId="51">
    <w:name w:val="标题 9 Char"/>
    <w:basedOn w:val="34"/>
    <w:link w:val="14"/>
    <w:qFormat/>
    <w:uiPriority w:val="0"/>
    <w:rPr>
      <w:rFonts w:ascii="Arial" w:hAnsi="Arial" w:eastAsia="黑体" w:cs="Times New Roman"/>
      <w:kern w:val="0"/>
      <w:szCs w:val="21"/>
    </w:rPr>
  </w:style>
  <w:style w:type="paragraph" w:styleId="52">
    <w:name w:val="List Paragraph"/>
    <w:basedOn w:val="1"/>
    <w:qFormat/>
    <w:uiPriority w:val="34"/>
    <w:pPr>
      <w:ind w:firstLine="420" w:firstLineChars="200"/>
    </w:pPr>
  </w:style>
  <w:style w:type="character" w:customStyle="1" w:styleId="53">
    <w:name w:val="批注框文本 Char"/>
    <w:basedOn w:val="34"/>
    <w:link w:val="22"/>
    <w:qFormat/>
    <w:uiPriority w:val="0"/>
    <w:rPr>
      <w:rFonts w:ascii="Calibri" w:hAnsi="Calibri" w:eastAsia="宋体" w:cs="Times New Roman"/>
      <w:sz w:val="18"/>
      <w:szCs w:val="18"/>
    </w:rPr>
  </w:style>
  <w:style w:type="character" w:customStyle="1" w:styleId="54">
    <w:name w:val="文档结构图 Char"/>
    <w:basedOn w:val="34"/>
    <w:link w:val="16"/>
    <w:semiHidden/>
    <w:qFormat/>
    <w:uiPriority w:val="99"/>
    <w:rPr>
      <w:rFonts w:ascii="宋体" w:hAnsi="Calibri" w:eastAsia="宋体" w:cs="Times New Roman"/>
      <w:sz w:val="18"/>
      <w:szCs w:val="18"/>
    </w:rPr>
  </w:style>
  <w:style w:type="paragraph" w:customStyle="1" w:styleId="55">
    <w:name w:val="TOC 标题1"/>
    <w:basedOn w:val="5"/>
    <w:next w:val="1"/>
    <w:semiHidden/>
    <w:unhideWhenUsed/>
    <w:qFormat/>
    <w:uiPriority w:val="39"/>
    <w:pPr>
      <w:widowControl/>
      <w:spacing w:before="480" w:after="0" w:line="276" w:lineRule="auto"/>
      <w:jc w:val="left"/>
      <w:outlineLvl w:val="9"/>
    </w:pPr>
    <w:rPr>
      <w:rFonts w:ascii="Cambria" w:hAnsi="Cambria"/>
      <w:color w:val="365F91"/>
      <w:kern w:val="0"/>
      <w:szCs w:val="28"/>
    </w:rPr>
  </w:style>
  <w:style w:type="paragraph" w:customStyle="1" w:styleId="56">
    <w:name w:val="Char Char Char"/>
    <w:basedOn w:val="1"/>
    <w:qFormat/>
    <w:uiPriority w:val="0"/>
    <w:rPr>
      <w:rFonts w:ascii="Tahoma" w:hAnsi="Tahoma"/>
      <w:sz w:val="24"/>
      <w:szCs w:val="20"/>
    </w:rPr>
  </w:style>
  <w:style w:type="paragraph" w:customStyle="1" w:styleId="57">
    <w:name w:val="样式 标题 1 + 四号 居中 段前: 12 磅 段后: 12 磅 行距: 单倍行距"/>
    <w:basedOn w:val="5"/>
    <w:qFormat/>
    <w:uiPriority w:val="0"/>
    <w:pPr>
      <w:adjustRightInd w:val="0"/>
      <w:spacing w:before="240" w:after="240" w:line="240" w:lineRule="auto"/>
      <w:ind w:left="252" w:firstLine="288"/>
      <w:textAlignment w:val="baseline"/>
    </w:pPr>
    <w:rPr>
      <w:rFonts w:ascii="Times New Roman" w:hAnsi="Times New Roman" w:cs="宋体"/>
      <w:szCs w:val="20"/>
    </w:rPr>
  </w:style>
  <w:style w:type="character" w:customStyle="1" w:styleId="58">
    <w:name w:val="纯文本 Char"/>
    <w:basedOn w:val="34"/>
    <w:link w:val="3"/>
    <w:qFormat/>
    <w:uiPriority w:val="0"/>
    <w:rPr>
      <w:rFonts w:ascii="宋体" w:hAnsi="Courier New" w:eastAsia="宋体" w:cs="Times New Roman"/>
      <w:szCs w:val="21"/>
    </w:rPr>
  </w:style>
  <w:style w:type="paragraph" w:customStyle="1" w:styleId="59">
    <w:name w:val="样式 标题 4 + 段前: 5 磅 段后: 5 磅 行距: 单倍行距"/>
    <w:basedOn w:val="9"/>
    <w:qFormat/>
    <w:uiPriority w:val="0"/>
    <w:pPr>
      <w:tabs>
        <w:tab w:val="left" w:pos="2880"/>
      </w:tabs>
      <w:spacing w:before="100" w:after="100" w:line="240" w:lineRule="auto"/>
      <w:ind w:left="2880" w:hanging="720"/>
    </w:pPr>
    <w:rPr>
      <w:rFonts w:cs="宋体"/>
      <w:szCs w:val="20"/>
    </w:rPr>
  </w:style>
  <w:style w:type="paragraph" w:customStyle="1" w:styleId="60">
    <w:name w:val="样式 标题 3h3H3sect1.2.3 + 五号 段前: 6 磅 段后: 6 磅 行距: 单倍行距"/>
    <w:basedOn w:val="8"/>
    <w:qFormat/>
    <w:uiPriority w:val="0"/>
    <w:pPr>
      <w:spacing w:before="120" w:after="120" w:line="240" w:lineRule="auto"/>
    </w:pPr>
    <w:rPr>
      <w:sz w:val="21"/>
      <w:szCs w:val="20"/>
    </w:rPr>
  </w:style>
  <w:style w:type="paragraph" w:customStyle="1" w:styleId="61">
    <w:name w:val="样式1"/>
    <w:basedOn w:val="1"/>
    <w:qFormat/>
    <w:uiPriority w:val="0"/>
    <w:pPr>
      <w:adjustRightInd w:val="0"/>
      <w:textAlignment w:val="baseline"/>
    </w:pPr>
    <w:rPr>
      <w:rFonts w:ascii="宋体" w:hAnsi="宋体"/>
      <w:kern w:val="0"/>
      <w:szCs w:val="21"/>
    </w:rPr>
  </w:style>
  <w:style w:type="character" w:customStyle="1" w:styleId="62">
    <w:name w:val="正文文本缩进 Char"/>
    <w:basedOn w:val="34"/>
    <w:link w:val="20"/>
    <w:qFormat/>
    <w:uiPriority w:val="0"/>
    <w:rPr>
      <w:rFonts w:ascii="Times New Roman" w:hAnsi="Times New Roman" w:eastAsia="宋体" w:cs="Times New Roman"/>
      <w:kern w:val="0"/>
      <w:sz w:val="24"/>
      <w:szCs w:val="20"/>
    </w:rPr>
  </w:style>
  <w:style w:type="character" w:customStyle="1" w:styleId="63">
    <w:name w:val="批注文字 Char"/>
    <w:basedOn w:val="34"/>
    <w:link w:val="17"/>
    <w:qFormat/>
    <w:uiPriority w:val="0"/>
    <w:rPr>
      <w:rFonts w:ascii="Times New Roman" w:hAnsi="Times New Roman" w:eastAsia="宋体" w:cs="Times New Roman"/>
      <w:szCs w:val="24"/>
    </w:rPr>
  </w:style>
  <w:style w:type="character" w:customStyle="1" w:styleId="64">
    <w:name w:val="批注主题 Char"/>
    <w:basedOn w:val="63"/>
    <w:link w:val="29"/>
    <w:qFormat/>
    <w:uiPriority w:val="0"/>
    <w:rPr>
      <w:rFonts w:ascii="Times New Roman" w:hAnsi="Times New Roman" w:eastAsia="宋体" w:cs="Times New Roman"/>
      <w:b/>
      <w:bCs/>
      <w:szCs w:val="24"/>
    </w:rPr>
  </w:style>
  <w:style w:type="character" w:customStyle="1" w:styleId="65">
    <w:name w:val="页眉 Char1"/>
    <w:basedOn w:val="34"/>
    <w:qFormat/>
    <w:uiPriority w:val="99"/>
    <w:rPr>
      <w:sz w:val="18"/>
      <w:szCs w:val="18"/>
    </w:rPr>
  </w:style>
  <w:style w:type="paragraph" w:customStyle="1" w:styleId="66">
    <w:name w:val="WPSOffice手动目录 1"/>
    <w:qFormat/>
    <w:uiPriority w:val="0"/>
    <w:rPr>
      <w:rFonts w:ascii="Calibri" w:hAnsi="Calibri" w:eastAsia="宋体" w:cs="Times New Roman"/>
      <w:lang w:val="en-US" w:eastAsia="zh-CN" w:bidi="ar-SA"/>
    </w:rPr>
  </w:style>
  <w:style w:type="paragraph" w:customStyle="1" w:styleId="67">
    <w:name w:val="WPSOffice手动目录 2"/>
    <w:qFormat/>
    <w:uiPriority w:val="0"/>
    <w:pPr>
      <w:ind w:left="200" w:leftChars="200"/>
    </w:pPr>
    <w:rPr>
      <w:rFonts w:ascii="Calibri" w:hAnsi="Calibri" w:eastAsia="宋体" w:cs="Times New Roman"/>
      <w:lang w:val="en-US" w:eastAsia="zh-CN" w:bidi="ar-SA"/>
    </w:rPr>
  </w:style>
  <w:style w:type="paragraph" w:customStyle="1" w:styleId="68">
    <w:name w:val="一级"/>
    <w:basedOn w:val="1"/>
    <w:qFormat/>
    <w:uiPriority w:val="0"/>
    <w:pPr>
      <w:spacing w:line="360" w:lineRule="auto"/>
      <w:jc w:val="center"/>
    </w:pPr>
    <w:rPr>
      <w:b/>
      <w:sz w:val="28"/>
    </w:rPr>
  </w:style>
  <w:style w:type="paragraph" w:customStyle="1" w:styleId="69">
    <w:name w:val="二级"/>
    <w:basedOn w:val="1"/>
    <w:link w:val="70"/>
    <w:qFormat/>
    <w:uiPriority w:val="0"/>
    <w:pPr>
      <w:spacing w:line="360" w:lineRule="auto"/>
      <w:ind w:left="200" w:leftChars="200"/>
    </w:pPr>
    <w:rPr>
      <w:b/>
      <w:sz w:val="24"/>
    </w:rPr>
  </w:style>
  <w:style w:type="character" w:customStyle="1" w:styleId="70">
    <w:name w:val="二级 Char"/>
    <w:link w:val="69"/>
    <w:qFormat/>
    <w:uiPriority w:val="0"/>
    <w:rPr>
      <w:rFonts w:eastAsia="宋体"/>
      <w:b/>
      <w:sz w:val="24"/>
    </w:rPr>
  </w:style>
  <w:style w:type="paragraph" w:customStyle="1" w:styleId="71">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72">
    <w:name w:val="标题 2 字符"/>
    <w:basedOn w:val="34"/>
    <w:link w:val="6"/>
    <w:qFormat/>
    <w:uiPriority w:val="0"/>
    <w:rPr>
      <w:rFonts w:ascii="Cambria" w:hAnsi="Cambria"/>
      <w:b/>
      <w:bCs/>
      <w:sz w:val="24"/>
      <w:szCs w:val="32"/>
    </w:rPr>
  </w:style>
  <w:style w:type="character" w:customStyle="1" w:styleId="73">
    <w:name w:val="页码 Char"/>
    <w:basedOn w:val="34"/>
    <w:qFormat/>
    <w:uiPriority w:val="0"/>
  </w:style>
  <w:style w:type="paragraph" w:customStyle="1" w:styleId="74">
    <w:name w:val=" Char Char Char Char Char Char Char Char Char Char Char Char Char Char Char Char Char Char Char"/>
    <w:basedOn w:val="1"/>
    <w:autoRedefine/>
    <w:qFormat/>
    <w:uiPriority w:val="0"/>
    <w:rPr>
      <w:rFonts w:eastAsia="仿宋_GB2312"/>
      <w:sz w:val="30"/>
      <w:szCs w:val="20"/>
    </w:rPr>
  </w:style>
  <w:style w:type="character" w:customStyle="1" w:styleId="75">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76">
    <w:name w:val="Char Char Char2"/>
    <w:basedOn w:val="1"/>
    <w:autoRedefine/>
    <w:qFormat/>
    <w:uiPriority w:val="0"/>
    <w:rPr>
      <w:rFonts w:ascii="Tahoma" w:hAnsi="Tahoma"/>
      <w:sz w:val="24"/>
      <w:szCs w:val="20"/>
    </w:rPr>
  </w:style>
  <w:style w:type="paragraph" w:customStyle="1" w:styleId="77">
    <w:name w:val="No Spacing_ad81b47b-6779-4c76-b471-79375858c8cb"/>
    <w:basedOn w:val="1"/>
    <w:qFormat/>
    <w:uiPriority w:val="0"/>
    <w:pPr>
      <w:ind w:firstLine="200" w:firstLineChars="200"/>
    </w:pPr>
  </w:style>
  <w:style w:type="table" w:customStyle="1" w:styleId="78">
    <w:name w:val="TableGrid"/>
    <w:qFormat/>
    <w:uiPriority w:val="0"/>
    <w:tblPr>
      <w:tblCellMar>
        <w:top w:w="0" w:type="dxa"/>
        <w:left w:w="0" w:type="dxa"/>
        <w:bottom w:w="0" w:type="dxa"/>
        <w:right w:w="0" w:type="dxa"/>
      </w:tblCellMar>
    </w:tblPr>
  </w:style>
  <w:style w:type="paragraph" w:customStyle="1" w:styleId="79">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80">
    <w:name w:val="*正文"/>
    <w:basedOn w:val="7"/>
    <w:autoRedefine/>
    <w:qFormat/>
    <w:uiPriority w:val="0"/>
    <w:pPr>
      <w:ind w:firstLine="200"/>
    </w:pPr>
    <w:rPr>
      <w:color w:val="000000"/>
    </w:rPr>
  </w:style>
  <w:style w:type="paragraph" w:customStyle="1" w:styleId="81">
    <w:name w:val="p0"/>
    <w:basedOn w:val="1"/>
    <w:autoRedefine/>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65</Pages>
  <Words>32207</Words>
  <Characters>33471</Characters>
  <Lines>51</Lines>
  <Paragraphs>85</Paragraphs>
  <TotalTime>7</TotalTime>
  <ScaleCrop>false</ScaleCrop>
  <LinksUpToDate>false</LinksUpToDate>
  <CharactersWithSpaces>36396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2018-06-27T01:23:00Z</dcterms:created>
  <dc:creator>于卫民[ywm]</dc:creator>
  <cp:lastModifiedBy>薛x。</cp:lastModifiedBy>
  <cp:lastPrinted>2023-11-29T14:28:00Z</cp:lastPrinted>
  <dcterms:modified xsi:type="dcterms:W3CDTF">2024-01-30T02:57:45Z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E047D4565FEE417BBA7D0C73CC2D8A14_13</vt:lpwstr>
  </property>
</Properties>
</file>