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340" w:after="330" w:line="400" w:lineRule="exact"/>
        <w:ind w:left="-142"/>
        <w:jc w:val="center"/>
        <w:outlineLvl w:val="0"/>
        <w:rPr>
          <w:rFonts w:hint="eastAsia" w:ascii="宋体" w:hAnsi="宋体"/>
          <w:b/>
          <w:bCs/>
          <w:color w:val="auto"/>
          <w:spacing w:val="-20"/>
          <w:kern w:val="44"/>
          <w:sz w:val="32"/>
          <w:szCs w:val="32"/>
          <w:highlight w:val="none"/>
        </w:rPr>
      </w:pPr>
      <w:bookmarkStart w:id="0" w:name="_Toc32023"/>
      <w:bookmarkStart w:id="1" w:name="_Toc8573798"/>
      <w:bookmarkStart w:id="2" w:name="_Toc217446108"/>
      <w:bookmarkStart w:id="3" w:name="_Toc34729074"/>
      <w:bookmarkStart w:id="7" w:name="_GoBack"/>
      <w:bookmarkEnd w:id="7"/>
      <w:r>
        <w:rPr>
          <w:rFonts w:hint="eastAsia" w:ascii="宋体" w:hAnsi="宋体"/>
          <w:b/>
          <w:bCs/>
          <w:color w:val="auto"/>
          <w:spacing w:val="-20"/>
          <w:kern w:val="44"/>
          <w:sz w:val="32"/>
          <w:szCs w:val="32"/>
          <w:highlight w:val="none"/>
        </w:rPr>
        <w:t>合    同</w:t>
      </w:r>
      <w:bookmarkEnd w:id="0"/>
      <w:r>
        <w:rPr>
          <w:rFonts w:hint="eastAsia" w:ascii="宋体" w:hAnsi="宋体"/>
          <w:b/>
          <w:bCs/>
          <w:color w:val="auto"/>
          <w:spacing w:val="-20"/>
          <w:kern w:val="44"/>
          <w:sz w:val="32"/>
          <w:szCs w:val="32"/>
          <w:highlight w:val="none"/>
        </w:rPr>
        <w:t>（参考模板）</w:t>
      </w:r>
    </w:p>
    <w:p>
      <w:pPr>
        <w:pStyle w:val="8"/>
        <w:ind w:left="2250" w:hanging="1200"/>
        <w:rPr>
          <w:rFonts w:hint="eastAsia" w:ascii="宋体" w:hAnsi="宋体" w:cs="宋体"/>
          <w:color w:val="auto"/>
          <w:szCs w:val="22"/>
          <w:highlight w:val="none"/>
        </w:rPr>
      </w:pPr>
    </w:p>
    <w:bookmarkEnd w:id="1"/>
    <w:bookmarkEnd w:id="2"/>
    <w:bookmarkEnd w:id="3"/>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项目名称：XXXX</w:t>
      </w:r>
    </w:p>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合同编号：XXXX</w:t>
      </w:r>
    </w:p>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签订地点：XXXX</w:t>
      </w:r>
    </w:p>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签订时间：XXXX年XX月XX日</w:t>
      </w:r>
    </w:p>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采购人（甲方）：</w:t>
      </w:r>
    </w:p>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中标人（乙方）：</w:t>
      </w:r>
    </w:p>
    <w:p>
      <w:pPr>
        <w:spacing w:line="400" w:lineRule="exact"/>
        <w:rPr>
          <w:rFonts w:ascii="宋体" w:hAnsi="宋体" w:cs="宋体"/>
          <w:color w:val="auto"/>
          <w:sz w:val="24"/>
          <w:highlight w:val="none"/>
        </w:rPr>
      </w:pPr>
    </w:p>
    <w:p>
      <w:pPr>
        <w:pStyle w:val="4"/>
        <w:spacing w:after="0" w:line="460" w:lineRule="exact"/>
        <w:ind w:firstLine="455" w:firstLineChars="175"/>
        <w:rPr>
          <w:rFonts w:hint="eastAsia" w:ascii="宋体" w:hAnsi="宋体" w:cs="宋体"/>
          <w:color w:val="auto"/>
          <w:sz w:val="26"/>
          <w:szCs w:val="26"/>
          <w:highlight w:val="none"/>
        </w:rPr>
      </w:pPr>
      <w:bookmarkStart w:id="4" w:name="_Toc217446107"/>
      <w:r>
        <w:rPr>
          <w:rFonts w:hint="eastAsia" w:ascii="宋体" w:hAnsi="宋体" w:cs="宋体"/>
          <w:color w:val="auto"/>
          <w:sz w:val="26"/>
          <w:szCs w:val="26"/>
          <w:highlight w:val="none"/>
        </w:rPr>
        <w:t>根据《中华人民共和国政府采购法》、《中华人民共和国民法典》及XXXX采购项目（项目编号：XX）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bookmarkEnd w:id="4"/>
    <w:p>
      <w:pPr>
        <w:numPr>
          <w:ilvl w:val="0"/>
          <w:numId w:val="1"/>
        </w:numPr>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合同货物</w:t>
      </w:r>
    </w:p>
    <w:tbl>
      <w:tblPr>
        <w:tblStyle w:val="10"/>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487"/>
        <w:gridCol w:w="990"/>
        <w:gridCol w:w="679"/>
        <w:gridCol w:w="849"/>
        <w:gridCol w:w="1019"/>
        <w:gridCol w:w="1118"/>
        <w:gridCol w:w="1188"/>
        <w:gridCol w:w="11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48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40" w:firstLineChars="100"/>
              <w:rPr>
                <w:rFonts w:hint="eastAsia" w:ascii="宋体" w:hAnsi="宋体" w:cs="宋体"/>
                <w:color w:val="auto"/>
                <w:sz w:val="24"/>
                <w:highlight w:val="none"/>
              </w:rPr>
            </w:pPr>
            <w:r>
              <w:rPr>
                <w:rFonts w:hint="eastAsia" w:ascii="宋体" w:hAnsi="宋体" w:cs="宋体"/>
                <w:color w:val="auto"/>
                <w:sz w:val="24"/>
                <w:highlight w:val="none"/>
              </w:rPr>
              <w:t>标的名称</w:t>
            </w: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r>
              <w:rPr>
                <w:rFonts w:hint="eastAsia" w:ascii="宋体" w:hAnsi="宋体" w:cs="宋体"/>
                <w:color w:val="auto"/>
                <w:sz w:val="24"/>
                <w:highlight w:val="none"/>
              </w:rPr>
              <w:t>规格</w:t>
            </w:r>
          </w:p>
          <w:p>
            <w:pPr>
              <w:spacing w:line="400" w:lineRule="exact"/>
              <w:jc w:val="center"/>
              <w:rPr>
                <w:rFonts w:ascii="宋体" w:hAnsi="宋体" w:cs="宋体"/>
                <w:color w:val="auto"/>
                <w:sz w:val="24"/>
                <w:highlight w:val="none"/>
              </w:rPr>
            </w:pPr>
            <w:r>
              <w:rPr>
                <w:rFonts w:hint="eastAsia" w:ascii="宋体" w:hAnsi="宋体" w:cs="宋体"/>
                <w:color w:val="auto"/>
                <w:sz w:val="24"/>
                <w:highlight w:val="none"/>
              </w:rPr>
              <w:t>型号</w:t>
            </w:r>
          </w:p>
        </w:tc>
        <w:tc>
          <w:tcPr>
            <w:tcW w:w="6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cs="宋体"/>
                <w:color w:val="auto"/>
                <w:sz w:val="24"/>
                <w:highlight w:val="none"/>
              </w:rPr>
            </w:pPr>
            <w:r>
              <w:rPr>
                <w:rFonts w:hint="eastAsia" w:ascii="宋体" w:hAnsi="宋体" w:cs="宋体"/>
                <w:color w:val="auto"/>
                <w:sz w:val="24"/>
                <w:highlight w:val="none"/>
              </w:rPr>
              <w:t>单位</w:t>
            </w: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20" w:firstLineChars="50"/>
              <w:rPr>
                <w:rFonts w:ascii="宋体" w:hAnsi="宋体" w:cs="宋体"/>
                <w:color w:val="auto"/>
                <w:sz w:val="24"/>
                <w:highlight w:val="none"/>
              </w:rPr>
            </w:pPr>
            <w:r>
              <w:rPr>
                <w:rFonts w:hint="eastAsia" w:ascii="宋体" w:hAnsi="宋体" w:cs="宋体"/>
                <w:color w:val="auto"/>
                <w:sz w:val="24"/>
                <w:highlight w:val="none"/>
              </w:rPr>
              <w:t>数量</w:t>
            </w:r>
          </w:p>
        </w:tc>
        <w:tc>
          <w:tcPr>
            <w:tcW w:w="10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20" w:firstLineChars="50"/>
              <w:jc w:val="center"/>
              <w:rPr>
                <w:rFonts w:ascii="宋体" w:hAnsi="宋体" w:cs="宋体"/>
                <w:color w:val="auto"/>
                <w:sz w:val="24"/>
                <w:highlight w:val="none"/>
              </w:rPr>
            </w:pPr>
            <w:r>
              <w:rPr>
                <w:rFonts w:hint="eastAsia" w:ascii="宋体" w:hAnsi="宋体" w:cs="宋体"/>
                <w:color w:val="auto"/>
                <w:sz w:val="24"/>
                <w:highlight w:val="none"/>
              </w:rPr>
              <w:t>单价</w:t>
            </w:r>
          </w:p>
          <w:p>
            <w:pPr>
              <w:spacing w:line="400" w:lineRule="exact"/>
              <w:jc w:val="center"/>
              <w:rPr>
                <w:rFonts w:ascii="宋体" w:hAnsi="宋体" w:cs="宋体"/>
                <w:color w:val="auto"/>
                <w:sz w:val="24"/>
                <w:highlight w:val="none"/>
              </w:rPr>
            </w:pPr>
            <w:r>
              <w:rPr>
                <w:rFonts w:hint="eastAsia" w:ascii="宋体" w:hAnsi="宋体" w:cs="宋体"/>
                <w:color w:val="auto"/>
                <w:sz w:val="24"/>
                <w:highlight w:val="none"/>
              </w:rPr>
              <w:t>（万元）</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240" w:firstLineChars="100"/>
              <w:rPr>
                <w:rFonts w:ascii="宋体" w:hAnsi="宋体" w:cs="宋体"/>
                <w:color w:val="auto"/>
                <w:sz w:val="24"/>
                <w:highlight w:val="none"/>
              </w:rPr>
            </w:pPr>
            <w:r>
              <w:rPr>
                <w:rFonts w:hint="eastAsia" w:ascii="宋体" w:hAnsi="宋体" w:cs="宋体"/>
                <w:color w:val="auto"/>
                <w:sz w:val="24"/>
                <w:highlight w:val="none"/>
              </w:rPr>
              <w:t>总价</w:t>
            </w:r>
          </w:p>
          <w:p>
            <w:pPr>
              <w:spacing w:line="400" w:lineRule="exact"/>
              <w:rPr>
                <w:rFonts w:ascii="宋体" w:hAnsi="宋体" w:cs="宋体"/>
                <w:color w:val="auto"/>
                <w:sz w:val="24"/>
                <w:highlight w:val="none"/>
              </w:rPr>
            </w:pPr>
            <w:r>
              <w:rPr>
                <w:rFonts w:hint="eastAsia" w:ascii="宋体" w:hAnsi="宋体" w:cs="宋体"/>
                <w:color w:val="auto"/>
                <w:sz w:val="24"/>
                <w:highlight w:val="none"/>
              </w:rPr>
              <w:t>（万元）</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r>
              <w:rPr>
                <w:rFonts w:hint="eastAsia" w:ascii="宋体" w:hAnsi="宋体" w:cs="宋体"/>
                <w:color w:val="auto"/>
                <w:sz w:val="24"/>
                <w:highlight w:val="none"/>
              </w:rPr>
              <w:t>随机</w:t>
            </w:r>
          </w:p>
          <w:p>
            <w:pPr>
              <w:spacing w:line="400" w:lineRule="exact"/>
              <w:jc w:val="center"/>
              <w:rPr>
                <w:rFonts w:ascii="宋体" w:hAnsi="宋体" w:cs="宋体"/>
                <w:color w:val="auto"/>
                <w:sz w:val="24"/>
                <w:highlight w:val="none"/>
              </w:rPr>
            </w:pPr>
            <w:r>
              <w:rPr>
                <w:rFonts w:hint="eastAsia" w:ascii="宋体" w:hAnsi="宋体" w:cs="宋体"/>
                <w:color w:val="auto"/>
                <w:sz w:val="24"/>
                <w:highlight w:val="none"/>
              </w:rPr>
              <w:t>配件</w:t>
            </w:r>
          </w:p>
        </w:tc>
        <w:tc>
          <w:tcPr>
            <w:tcW w:w="11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20" w:firstLineChars="50"/>
              <w:rPr>
                <w:rFonts w:hint="eastAsia" w:ascii="宋体" w:hAnsi="宋体" w:cs="宋体"/>
                <w:color w:val="auto"/>
                <w:sz w:val="24"/>
                <w:highlight w:val="none"/>
              </w:rPr>
            </w:pPr>
            <w:r>
              <w:rPr>
                <w:rFonts w:hint="eastAsia" w:ascii="宋体" w:hAnsi="宋体" w:cs="宋体"/>
                <w:color w:val="auto"/>
                <w:sz w:val="24"/>
                <w:highlight w:val="none"/>
              </w:rPr>
              <w:t>交货时间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48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148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148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auto"/>
                <w:sz w:val="24"/>
                <w:highlight w:val="none"/>
              </w:rPr>
            </w:pPr>
          </w:p>
        </w:tc>
      </w:tr>
    </w:tbl>
    <w:p>
      <w:pPr>
        <w:spacing w:line="460" w:lineRule="exact"/>
        <w:ind w:firstLine="522" w:firstLineChars="200"/>
        <w:rPr>
          <w:rFonts w:hint="eastAsia" w:ascii="宋体" w:hAnsi="宋体" w:cs="宋体"/>
          <w:b/>
          <w:bCs/>
          <w:color w:val="auto"/>
          <w:sz w:val="26"/>
          <w:szCs w:val="26"/>
          <w:highlight w:val="none"/>
        </w:rPr>
      </w:pPr>
      <w:bookmarkStart w:id="5" w:name="_Toc217446109"/>
      <w:r>
        <w:rPr>
          <w:rFonts w:hint="eastAsia" w:ascii="宋体" w:hAnsi="宋体" w:cs="宋体"/>
          <w:b/>
          <w:bCs/>
          <w:color w:val="auto"/>
          <w:sz w:val="26"/>
          <w:szCs w:val="26"/>
          <w:highlight w:val="none"/>
        </w:rPr>
        <w:t>二、合同总价</w:t>
      </w:r>
    </w:p>
    <w:p>
      <w:pPr>
        <w:pStyle w:val="4"/>
        <w:spacing w:after="0" w:line="460" w:lineRule="exact"/>
        <w:ind w:firstLine="455" w:firstLineChars="175"/>
        <w:rPr>
          <w:rFonts w:hint="eastAsia" w:ascii="宋体" w:hAnsi="宋体" w:cs="宋体"/>
          <w:color w:val="auto"/>
          <w:sz w:val="26"/>
          <w:szCs w:val="26"/>
          <w:highlight w:val="none"/>
        </w:rPr>
      </w:pPr>
      <w:r>
        <w:rPr>
          <w:rFonts w:hint="eastAsia" w:ascii="宋体" w:hAnsi="宋体" w:cs="宋体"/>
          <w:color w:val="auto"/>
          <w:sz w:val="26"/>
          <w:szCs w:val="26"/>
          <w:highlight w:val="none"/>
        </w:rPr>
        <w:t>合同总价为人民币大写：</w:t>
      </w:r>
      <w:r>
        <w:rPr>
          <w:rFonts w:hint="eastAsia" w:ascii="宋体" w:hAnsi="宋体" w:cs="宋体"/>
          <w:color w:val="auto"/>
          <w:sz w:val="26"/>
          <w:szCs w:val="26"/>
          <w:highlight w:val="none"/>
          <w:u w:val="single"/>
        </w:rPr>
        <w:t xml:space="preserve">       </w:t>
      </w:r>
      <w:r>
        <w:rPr>
          <w:rFonts w:hint="eastAsia" w:ascii="宋体" w:hAnsi="宋体" w:cs="宋体"/>
          <w:color w:val="auto"/>
          <w:sz w:val="26"/>
          <w:szCs w:val="26"/>
          <w:highlight w:val="none"/>
        </w:rPr>
        <w:t>元，即RMB￥</w:t>
      </w:r>
      <w:r>
        <w:rPr>
          <w:rFonts w:hint="eastAsia" w:ascii="宋体" w:hAnsi="宋体" w:cs="宋体"/>
          <w:color w:val="auto"/>
          <w:sz w:val="26"/>
          <w:szCs w:val="26"/>
          <w:highlight w:val="none"/>
          <w:u w:val="single"/>
        </w:rPr>
        <w:t xml:space="preserve">       </w:t>
      </w:r>
      <w:r>
        <w:rPr>
          <w:rFonts w:hint="eastAsia" w:ascii="宋体" w:hAnsi="宋体" w:cs="宋体"/>
          <w:color w:val="auto"/>
          <w:sz w:val="26"/>
          <w:szCs w:val="26"/>
          <w:highlight w:val="none"/>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widowControl/>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三、附件及零配件（包括专用工具）、备品备件的要求</w:t>
      </w:r>
    </w:p>
    <w:p>
      <w:pPr>
        <w:widowControl/>
        <w:adjustRightInd w:val="0"/>
        <w:snapToGrid w:val="0"/>
        <w:spacing w:line="460" w:lineRule="exact"/>
        <w:ind w:firstLine="520" w:firstLineChars="200"/>
        <w:jc w:val="left"/>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以</w:t>
      </w: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投标文件为准。</w:t>
      </w:r>
    </w:p>
    <w:p>
      <w:pPr>
        <w:widowControl/>
        <w:adjustRightInd w:val="0"/>
        <w:snapToGrid w:val="0"/>
        <w:spacing w:line="460" w:lineRule="exact"/>
        <w:ind w:firstLine="522" w:firstLineChars="200"/>
        <w:jc w:val="left"/>
        <w:rPr>
          <w:rFonts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四、服务标准及质量要求</w:t>
      </w:r>
    </w:p>
    <w:p>
      <w:pPr>
        <w:pStyle w:val="4"/>
        <w:numPr>
          <w:ilvl w:val="0"/>
          <w:numId w:val="2"/>
        </w:numPr>
        <w:spacing w:after="0" w:line="460" w:lineRule="exact"/>
        <w:rPr>
          <w:rFonts w:hint="eastAsia" w:ascii="宋体" w:hAnsi="宋体" w:cs="宋体"/>
          <w:color w:val="auto"/>
          <w:sz w:val="26"/>
          <w:szCs w:val="26"/>
          <w:highlight w:val="none"/>
          <w:lang w:val="zh-CN"/>
        </w:rPr>
      </w:pP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供货的货物应为全新的未开封产品，满足本次招标货物的技术要求，</w:t>
      </w:r>
      <w:r>
        <w:rPr>
          <w:rFonts w:hint="eastAsia" w:ascii="宋体" w:hAnsi="宋体" w:cs="宋体"/>
          <w:color w:val="auto"/>
          <w:sz w:val="26"/>
          <w:szCs w:val="26"/>
          <w:highlight w:val="none"/>
        </w:rPr>
        <w:t>须</w:t>
      </w:r>
      <w:r>
        <w:rPr>
          <w:rFonts w:hint="eastAsia" w:ascii="宋体" w:hAnsi="宋体" w:cs="宋体"/>
          <w:color w:val="auto"/>
          <w:sz w:val="26"/>
          <w:szCs w:val="26"/>
          <w:highlight w:val="none"/>
          <w:lang w:val="zh-CN"/>
        </w:rPr>
        <w:t>具有产品合格证；</w:t>
      </w:r>
    </w:p>
    <w:p>
      <w:pPr>
        <w:pStyle w:val="4"/>
        <w:numPr>
          <w:ilvl w:val="0"/>
          <w:numId w:val="2"/>
        </w:numPr>
        <w:spacing w:after="0" w:line="460" w:lineRule="exact"/>
        <w:rPr>
          <w:rFonts w:hint="eastAsia" w:ascii="宋体" w:hAnsi="宋体" w:cs="宋体"/>
          <w:color w:val="auto"/>
          <w:sz w:val="26"/>
          <w:szCs w:val="26"/>
          <w:highlight w:val="none"/>
          <w:lang w:val="zh-CN"/>
        </w:rPr>
      </w:pP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提供的产品涉及商品包装或快递包装的，须严格按照财政部等三部门联合印发《商品包装政府采购需求标准（试行）》、《快递包装政府采购需求标准（试行）》的通知（财办库[2020]123号）要求执行；</w:t>
      </w:r>
    </w:p>
    <w:p>
      <w:pPr>
        <w:pStyle w:val="4"/>
        <w:numPr>
          <w:ilvl w:val="0"/>
          <w:numId w:val="2"/>
        </w:numPr>
        <w:spacing w:after="0" w:line="460" w:lineRule="exact"/>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乙方须提供全新的货物（含零部件 、配件等），</w:t>
      </w:r>
      <w:r>
        <w:rPr>
          <w:rFonts w:hint="eastAsia" w:ascii="宋体" w:hAnsi="宋体" w:cs="宋体"/>
          <w:color w:val="auto"/>
          <w:sz w:val="26"/>
          <w:szCs w:val="26"/>
          <w:highlight w:val="none"/>
        </w:rPr>
        <w:t>货物</w:t>
      </w:r>
      <w:r>
        <w:rPr>
          <w:rFonts w:hint="eastAsia" w:ascii="宋体" w:hAnsi="宋体" w:cs="宋体"/>
          <w:color w:val="auto"/>
          <w:sz w:val="26"/>
          <w:szCs w:val="26"/>
          <w:highlight w:val="none"/>
          <w:lang w:val="zh-CN"/>
        </w:rPr>
        <w:t>在送到使用单位之前表面无划伤、</w:t>
      </w:r>
      <w:r>
        <w:rPr>
          <w:rFonts w:hint="eastAsia" w:ascii="宋体" w:hAnsi="宋体" w:cs="宋体"/>
          <w:color w:val="auto"/>
          <w:sz w:val="26"/>
          <w:szCs w:val="26"/>
          <w:highlight w:val="none"/>
        </w:rPr>
        <w:t>无</w:t>
      </w:r>
      <w:r>
        <w:rPr>
          <w:rFonts w:hint="eastAsia" w:ascii="宋体" w:hAnsi="宋体" w:cs="宋体"/>
          <w:color w:val="auto"/>
          <w:sz w:val="26"/>
          <w:szCs w:val="26"/>
          <w:highlight w:val="none"/>
          <w:lang w:val="zh-CN"/>
        </w:rPr>
        <w:t>碰撞等现象，并且安装调试后能正常使用；</w:t>
      </w:r>
    </w:p>
    <w:p>
      <w:pPr>
        <w:pStyle w:val="4"/>
        <w:numPr>
          <w:ilvl w:val="0"/>
          <w:numId w:val="2"/>
        </w:numPr>
        <w:spacing w:after="0" w:line="460" w:lineRule="exact"/>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乙方货到现场用户不负责提供货物仓储地，由</w:t>
      </w: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负责货物保管工作，货到现场但未安装完全交付前造成的遗失、损坏等问题，由乙方承担；</w:t>
      </w:r>
    </w:p>
    <w:p>
      <w:pPr>
        <w:pStyle w:val="4"/>
        <w:numPr>
          <w:ilvl w:val="0"/>
          <w:numId w:val="2"/>
        </w:numPr>
        <w:spacing w:after="0" w:line="460" w:lineRule="exact"/>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若遇配货包装、运输过程中造成的短缺、差错、丢失、损坏等，乙方无条件调换、补缺；</w:t>
      </w:r>
    </w:p>
    <w:p>
      <w:pPr>
        <w:pStyle w:val="4"/>
        <w:numPr>
          <w:ilvl w:val="0"/>
          <w:numId w:val="2"/>
        </w:numPr>
        <w:spacing w:after="0" w:line="460" w:lineRule="exact"/>
        <w:rPr>
          <w:rFonts w:ascii="宋体" w:hAnsi="宋体" w:cs="宋体"/>
          <w:color w:val="auto"/>
          <w:sz w:val="24"/>
          <w:szCs w:val="24"/>
          <w:highlight w:val="none"/>
        </w:rPr>
      </w:pP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按订货的品种、数量配货，送货到校，并附详细的发货清单和签收单，以便验货核对。</w:t>
      </w:r>
    </w:p>
    <w:p>
      <w:pPr>
        <w:widowControl/>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五、验收标准和方法</w:t>
      </w:r>
    </w:p>
    <w:p>
      <w:pPr>
        <w:pStyle w:val="4"/>
        <w:spacing w:after="0" w:line="460" w:lineRule="exact"/>
        <w:ind w:firstLine="520" w:firstLineChars="200"/>
        <w:rPr>
          <w:rFonts w:hint="eastAsia" w:ascii="宋体" w:hAnsi="宋体" w:cs="宋体"/>
          <w:color w:val="auto"/>
          <w:sz w:val="26"/>
          <w:szCs w:val="26"/>
          <w:highlight w:val="none"/>
        </w:rPr>
      </w:pPr>
      <w:r>
        <w:rPr>
          <w:rFonts w:hint="eastAsia" w:ascii="宋体" w:hAnsi="宋体" w:cs="宋体"/>
          <w:color w:val="auto"/>
          <w:sz w:val="26"/>
          <w:szCs w:val="26"/>
          <w:highlight w:val="none"/>
        </w:rPr>
        <w:t>项目</w:t>
      </w:r>
      <w:r>
        <w:rPr>
          <w:rFonts w:hint="eastAsia" w:ascii="宋体" w:hAnsi="宋体" w:cs="宋体"/>
          <w:color w:val="auto"/>
          <w:sz w:val="26"/>
          <w:szCs w:val="26"/>
          <w:highlight w:val="none"/>
          <w:lang w:val="zh-CN"/>
        </w:rPr>
        <w:t>验收由甲方组织，乙方配合进行；</w:t>
      </w:r>
      <w:r>
        <w:rPr>
          <w:rFonts w:hint="eastAsia" w:ascii="宋体" w:hAnsi="宋体" w:cs="宋体"/>
          <w:color w:val="auto"/>
          <w:sz w:val="26"/>
          <w:szCs w:val="26"/>
          <w:highlight w:val="none"/>
        </w:rPr>
        <w:t>甲</w:t>
      </w:r>
      <w:r>
        <w:rPr>
          <w:rFonts w:hint="eastAsia" w:ascii="宋体" w:hAnsi="宋体" w:cs="宋体"/>
          <w:color w:val="auto"/>
          <w:kern w:val="0"/>
          <w:sz w:val="26"/>
          <w:szCs w:val="26"/>
          <w:highlight w:val="none"/>
        </w:rPr>
        <w:t>方有权邀请第三方机构或质检部门等共同验收</w:t>
      </w:r>
      <w:r>
        <w:rPr>
          <w:rFonts w:hint="eastAsia" w:ascii="宋体" w:hAnsi="宋体" w:cs="宋体"/>
          <w:color w:val="auto"/>
          <w:sz w:val="26"/>
          <w:szCs w:val="26"/>
          <w:highlight w:val="none"/>
          <w:lang w:val="zh-CN"/>
        </w:rPr>
        <w:t>。</w:t>
      </w:r>
    </w:p>
    <w:p>
      <w:pPr>
        <w:pStyle w:val="4"/>
        <w:spacing w:after="0" w:line="460" w:lineRule="exact"/>
        <w:ind w:firstLine="520" w:firstLineChars="200"/>
        <w:rPr>
          <w:rFonts w:hint="eastAsia" w:ascii="宋体" w:hAnsi="宋体" w:cs="宋体"/>
          <w:color w:val="auto"/>
          <w:sz w:val="26"/>
          <w:szCs w:val="26"/>
          <w:highlight w:val="none"/>
        </w:rPr>
      </w:pPr>
      <w:r>
        <w:rPr>
          <w:rFonts w:hint="eastAsia" w:ascii="宋体" w:hAnsi="宋体" w:cs="宋体"/>
          <w:color w:val="auto"/>
          <w:sz w:val="26"/>
          <w:szCs w:val="26"/>
          <w:highlight w:val="none"/>
        </w:rPr>
        <w:t>（一）验收标准</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按国家有关规定以及甲方招标文件的质量要求和技术指标</w:t>
      </w:r>
      <w:r>
        <w:rPr>
          <w:rFonts w:hint="eastAsia" w:ascii="宋体" w:hAnsi="宋体" w:cs="宋体"/>
          <w:color w:val="auto"/>
          <w:sz w:val="26"/>
          <w:szCs w:val="26"/>
          <w:highlight w:val="none"/>
        </w:rPr>
        <w:t>等每一项技术和商务要求</w:t>
      </w:r>
      <w:r>
        <w:rPr>
          <w:rFonts w:hint="eastAsia" w:ascii="宋体" w:hAnsi="宋体" w:cs="宋体"/>
          <w:color w:val="auto"/>
          <w:sz w:val="26"/>
          <w:szCs w:val="26"/>
          <w:highlight w:val="none"/>
          <w:lang w:val="zh-CN"/>
        </w:rPr>
        <w:t>、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w:t>
      </w:r>
      <w:r>
        <w:rPr>
          <w:rFonts w:hint="eastAsia" w:ascii="宋体" w:hAnsi="宋体" w:cs="宋体"/>
          <w:color w:val="auto"/>
          <w:sz w:val="26"/>
          <w:szCs w:val="26"/>
          <w:highlight w:val="none"/>
        </w:rPr>
        <w:t>二</w:t>
      </w:r>
      <w:r>
        <w:rPr>
          <w:rFonts w:hint="eastAsia" w:ascii="宋体" w:hAnsi="宋体" w:cs="宋体"/>
          <w:color w:val="auto"/>
          <w:sz w:val="26"/>
          <w:szCs w:val="26"/>
          <w:highlight w:val="none"/>
          <w:lang w:val="zh-CN"/>
        </w:rPr>
        <w:t>）验收程序：项目验收分中标</w:t>
      </w:r>
      <w:r>
        <w:rPr>
          <w:rFonts w:hint="eastAsia" w:ascii="宋体" w:hAnsi="宋体" w:cs="宋体"/>
          <w:color w:val="auto"/>
          <w:sz w:val="26"/>
          <w:szCs w:val="26"/>
          <w:highlight w:val="none"/>
        </w:rPr>
        <w:t>方</w:t>
      </w:r>
      <w:r>
        <w:rPr>
          <w:rFonts w:hint="eastAsia" w:ascii="宋体" w:hAnsi="宋体" w:cs="宋体"/>
          <w:color w:val="auto"/>
          <w:sz w:val="26"/>
          <w:szCs w:val="26"/>
          <w:highlight w:val="none"/>
          <w:lang w:val="zh-CN"/>
        </w:rPr>
        <w:t>出厂自验、安装调试初验</w:t>
      </w:r>
      <w:r>
        <w:rPr>
          <w:rFonts w:hint="eastAsia" w:ascii="宋体" w:hAnsi="宋体" w:cs="宋体"/>
          <w:color w:val="auto"/>
          <w:sz w:val="26"/>
          <w:szCs w:val="26"/>
          <w:highlight w:val="none"/>
        </w:rPr>
        <w:t>及</w:t>
      </w:r>
      <w:r>
        <w:rPr>
          <w:rFonts w:hint="eastAsia" w:ascii="宋体" w:hAnsi="宋体" w:cs="宋体"/>
          <w:color w:val="auto"/>
          <w:sz w:val="26"/>
          <w:szCs w:val="26"/>
          <w:highlight w:val="none"/>
          <w:lang w:val="zh-CN"/>
        </w:rPr>
        <w:t>最终验收三个阶段。</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rPr>
        <w:t>1.</w:t>
      </w:r>
      <w:r>
        <w:rPr>
          <w:rFonts w:hint="eastAsia" w:ascii="宋体" w:hAnsi="宋体" w:cs="宋体"/>
          <w:color w:val="auto"/>
          <w:sz w:val="26"/>
          <w:szCs w:val="26"/>
          <w:highlight w:val="none"/>
          <w:lang w:val="zh-CN"/>
        </w:rPr>
        <w:t>出厂自验：乙方在货物出厂前，应按产品技术标准规定的检验项目和试验方法进行全面检验，乙方应随同货物提供产品环保证明、质量合格证书，其结果</w:t>
      </w:r>
      <w:r>
        <w:rPr>
          <w:rFonts w:hint="eastAsia" w:ascii="宋体" w:hAnsi="宋体" w:cs="宋体"/>
          <w:color w:val="auto"/>
          <w:sz w:val="26"/>
          <w:szCs w:val="26"/>
          <w:highlight w:val="none"/>
        </w:rPr>
        <w:t>符合</w:t>
      </w:r>
      <w:r>
        <w:rPr>
          <w:rFonts w:hint="eastAsia" w:ascii="宋体" w:hAnsi="宋体" w:cs="宋体"/>
          <w:color w:val="auto"/>
          <w:sz w:val="26"/>
          <w:szCs w:val="26"/>
          <w:highlight w:val="none"/>
          <w:lang w:val="zh-CN"/>
        </w:rPr>
        <w:t>必须本项目验收标准的要求。</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rPr>
        <w:t>2.</w:t>
      </w:r>
      <w:r>
        <w:rPr>
          <w:rFonts w:hint="eastAsia" w:ascii="宋体" w:hAnsi="宋体" w:cs="宋体"/>
          <w:color w:val="auto"/>
          <w:sz w:val="26"/>
          <w:szCs w:val="26"/>
          <w:highlight w:val="none"/>
          <w:lang w:val="zh-CN"/>
        </w:rPr>
        <w:t>安装调试初验：乙方按照合同约定时间内完成本项目的设备安装调试工作，设备安装、调试过程，</w:t>
      </w: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应作详细检验记录；安装调试检验结果应符合本项目验收标准，检验记录应真实并提供给甲方。所有设施设备安装、调试</w:t>
      </w:r>
      <w:r>
        <w:rPr>
          <w:rFonts w:hint="eastAsia" w:ascii="宋体" w:hAnsi="宋体" w:cs="宋体"/>
          <w:color w:val="auto"/>
          <w:sz w:val="26"/>
          <w:szCs w:val="26"/>
          <w:highlight w:val="none"/>
        </w:rPr>
        <w:t>完成</w:t>
      </w:r>
      <w:r>
        <w:rPr>
          <w:rFonts w:hint="eastAsia" w:ascii="宋体" w:hAnsi="宋体" w:cs="宋体"/>
          <w:color w:val="auto"/>
          <w:sz w:val="26"/>
          <w:szCs w:val="26"/>
          <w:highlight w:val="none"/>
          <w:lang w:val="zh-CN"/>
        </w:rPr>
        <w:t>后</w:t>
      </w:r>
      <w:r>
        <w:rPr>
          <w:rFonts w:hint="eastAsia" w:ascii="宋体" w:hAnsi="宋体" w:cs="宋体"/>
          <w:color w:val="auto"/>
          <w:sz w:val="26"/>
          <w:szCs w:val="26"/>
          <w:highlight w:val="none"/>
        </w:rPr>
        <w:t>进入试用期；试用期（试用期指安装后交付使用到初验这个阶段）结束后设备接收方</w:t>
      </w:r>
      <w:r>
        <w:rPr>
          <w:rFonts w:hint="eastAsia" w:ascii="宋体" w:hAnsi="宋体" w:cs="宋体"/>
          <w:color w:val="auto"/>
          <w:sz w:val="26"/>
          <w:szCs w:val="26"/>
          <w:highlight w:val="none"/>
          <w:lang w:val="zh-CN"/>
        </w:rPr>
        <w:t>对</w:t>
      </w:r>
      <w:r>
        <w:rPr>
          <w:rFonts w:hint="eastAsia" w:ascii="宋体" w:hAnsi="宋体" w:cs="宋体"/>
          <w:color w:val="auto"/>
          <w:sz w:val="26"/>
          <w:szCs w:val="26"/>
          <w:highlight w:val="none"/>
        </w:rPr>
        <w:t>乙方的</w:t>
      </w:r>
      <w:r>
        <w:rPr>
          <w:rFonts w:hint="eastAsia" w:ascii="宋体" w:hAnsi="宋体" w:cs="宋体"/>
          <w:color w:val="auto"/>
          <w:sz w:val="26"/>
          <w:szCs w:val="26"/>
          <w:highlight w:val="none"/>
          <w:lang w:val="zh-CN"/>
        </w:rPr>
        <w:t>送货数量、</w:t>
      </w:r>
      <w:r>
        <w:rPr>
          <w:rFonts w:hint="eastAsia" w:ascii="宋体" w:hAnsi="宋体" w:cs="宋体"/>
          <w:color w:val="auto"/>
          <w:sz w:val="26"/>
          <w:szCs w:val="26"/>
          <w:highlight w:val="none"/>
        </w:rPr>
        <w:t>种类、质量培训服务等</w:t>
      </w:r>
      <w:r>
        <w:rPr>
          <w:rFonts w:hint="eastAsia" w:ascii="宋体" w:hAnsi="宋体" w:cs="宋体"/>
          <w:color w:val="auto"/>
          <w:sz w:val="26"/>
          <w:szCs w:val="26"/>
          <w:highlight w:val="none"/>
          <w:lang w:val="zh-CN"/>
        </w:rPr>
        <w:t>进行初验。</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rPr>
        <w:t>3.</w:t>
      </w:r>
      <w:r>
        <w:rPr>
          <w:rFonts w:hint="eastAsia" w:ascii="宋体" w:hAnsi="宋体" w:cs="宋体"/>
          <w:color w:val="auto"/>
          <w:sz w:val="26"/>
          <w:szCs w:val="26"/>
          <w:highlight w:val="none"/>
          <w:lang w:val="zh-CN"/>
        </w:rPr>
        <w:t>最终验收：</w:t>
      </w:r>
      <w:r>
        <w:rPr>
          <w:rFonts w:hint="eastAsia" w:ascii="宋体" w:hAnsi="宋体" w:cs="宋体"/>
          <w:color w:val="auto"/>
          <w:sz w:val="26"/>
          <w:szCs w:val="26"/>
          <w:highlight w:val="none"/>
        </w:rPr>
        <w:t>试用期结束且初验合格后乙方按甲方要求准备验收资料并提交验收申请。</w:t>
      </w:r>
      <w:r>
        <w:rPr>
          <w:rFonts w:hint="eastAsia" w:ascii="宋体" w:hAnsi="宋体" w:cs="宋体"/>
          <w:color w:val="auto"/>
          <w:sz w:val="26"/>
          <w:szCs w:val="26"/>
          <w:highlight w:val="none"/>
          <w:lang w:val="zh-CN"/>
        </w:rPr>
        <w:t>由甲方组织</w:t>
      </w:r>
      <w:r>
        <w:rPr>
          <w:rFonts w:hint="eastAsia" w:ascii="宋体" w:hAnsi="宋体" w:cs="宋体"/>
          <w:color w:val="auto"/>
          <w:sz w:val="26"/>
          <w:szCs w:val="26"/>
          <w:highlight w:val="none"/>
        </w:rPr>
        <w:t>验收专家小组</w:t>
      </w:r>
      <w:r>
        <w:rPr>
          <w:rFonts w:hint="eastAsia" w:ascii="宋体" w:hAnsi="宋体" w:cs="宋体"/>
          <w:color w:val="auto"/>
          <w:sz w:val="26"/>
          <w:szCs w:val="26"/>
          <w:highlight w:val="none"/>
          <w:lang w:val="zh-CN"/>
        </w:rPr>
        <w:t>，</w:t>
      </w:r>
      <w:r>
        <w:rPr>
          <w:rFonts w:hint="eastAsia" w:ascii="宋体" w:hAnsi="宋体" w:cs="宋体"/>
          <w:color w:val="auto"/>
          <w:sz w:val="26"/>
          <w:szCs w:val="26"/>
          <w:highlight w:val="none"/>
        </w:rPr>
        <w:t>乙方配合，</w:t>
      </w:r>
      <w:r>
        <w:rPr>
          <w:rFonts w:hint="eastAsia" w:ascii="宋体" w:hAnsi="宋体" w:cs="宋体"/>
          <w:color w:val="auto"/>
          <w:sz w:val="26"/>
          <w:szCs w:val="26"/>
          <w:highlight w:val="none"/>
          <w:lang w:val="zh-CN"/>
        </w:rPr>
        <w:t>按国家规定的标准要求、本项目验收标准、合同约定</w:t>
      </w:r>
      <w:r>
        <w:rPr>
          <w:rFonts w:hint="eastAsia" w:ascii="宋体" w:hAnsi="宋体" w:cs="宋体"/>
          <w:color w:val="auto"/>
          <w:sz w:val="26"/>
          <w:szCs w:val="26"/>
          <w:highlight w:val="none"/>
        </w:rPr>
        <w:t>以及样品（项目存在样品时适用）进行</w:t>
      </w:r>
      <w:r>
        <w:rPr>
          <w:rFonts w:hint="eastAsia" w:ascii="宋体" w:hAnsi="宋体" w:cs="宋体"/>
          <w:color w:val="auto"/>
          <w:sz w:val="26"/>
          <w:szCs w:val="26"/>
          <w:highlight w:val="none"/>
          <w:lang w:val="zh-CN"/>
        </w:rPr>
        <w:t>最终验收，验收合格后</w:t>
      </w:r>
      <w:r>
        <w:rPr>
          <w:rFonts w:hint="eastAsia" w:ascii="宋体" w:hAnsi="宋体" w:cs="宋体"/>
          <w:color w:val="auto"/>
          <w:sz w:val="26"/>
          <w:szCs w:val="26"/>
          <w:highlight w:val="none"/>
        </w:rPr>
        <w:t>甲方</w:t>
      </w:r>
      <w:r>
        <w:rPr>
          <w:rFonts w:hint="eastAsia" w:ascii="宋体" w:hAnsi="宋体" w:cs="宋体"/>
          <w:color w:val="auto"/>
          <w:sz w:val="26"/>
          <w:szCs w:val="26"/>
          <w:highlight w:val="none"/>
          <w:lang w:val="zh-CN"/>
        </w:rPr>
        <w:t>向</w:t>
      </w:r>
      <w:r>
        <w:rPr>
          <w:rFonts w:hint="eastAsia" w:ascii="宋体" w:hAnsi="宋体" w:cs="宋体"/>
          <w:color w:val="auto"/>
          <w:sz w:val="26"/>
          <w:szCs w:val="26"/>
          <w:highlight w:val="none"/>
        </w:rPr>
        <w:t>乙方</w:t>
      </w:r>
      <w:r>
        <w:rPr>
          <w:rFonts w:hint="eastAsia" w:ascii="宋体" w:hAnsi="宋体" w:cs="宋体"/>
          <w:color w:val="auto"/>
          <w:sz w:val="26"/>
          <w:szCs w:val="26"/>
          <w:highlight w:val="none"/>
          <w:lang w:val="zh-CN"/>
        </w:rPr>
        <w:t>出具合格验收报告。</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lang w:val="zh-CN"/>
        </w:rPr>
      </w:pPr>
      <w:r>
        <w:rPr>
          <w:rFonts w:hint="eastAsia" w:ascii="宋体" w:hAnsi="宋体" w:cs="宋体"/>
          <w:color w:val="auto"/>
          <w:kern w:val="0"/>
          <w:sz w:val="26"/>
          <w:szCs w:val="26"/>
          <w:highlight w:val="none"/>
        </w:rPr>
        <w:t>（三）其他未尽事宜应严格按照《财政部关于进一步加强政府采购需求和履约验收管理的指导意见》(财库〔2016〕205号)的要求进行验收。</w:t>
      </w:r>
    </w:p>
    <w:p>
      <w:pPr>
        <w:widowControl/>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六、安装调试及技术服务（含培训）要求</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w:t>
      </w:r>
      <w:r>
        <w:rPr>
          <w:rFonts w:hint="eastAsia" w:ascii="宋体" w:hAnsi="宋体" w:cs="宋体"/>
          <w:color w:val="auto"/>
          <w:sz w:val="26"/>
          <w:szCs w:val="26"/>
          <w:highlight w:val="none"/>
        </w:rPr>
        <w:t>一</w:t>
      </w:r>
      <w:r>
        <w:rPr>
          <w:rFonts w:hint="eastAsia" w:ascii="宋体" w:hAnsi="宋体" w:cs="宋体"/>
          <w:color w:val="auto"/>
          <w:sz w:val="26"/>
          <w:szCs w:val="26"/>
          <w:highlight w:val="none"/>
          <w:lang w:val="zh-CN"/>
        </w:rPr>
        <w:t>）所有设备均须由乙方送货上门并安装调试，含施工辅材、原设备拆除、设备安装、调试等，甲方不再额外支付任何费用。</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w:t>
      </w:r>
      <w:r>
        <w:rPr>
          <w:rFonts w:hint="eastAsia" w:ascii="宋体" w:hAnsi="宋体" w:cs="宋体"/>
          <w:color w:val="auto"/>
          <w:sz w:val="26"/>
          <w:szCs w:val="26"/>
          <w:highlight w:val="none"/>
        </w:rPr>
        <w:t>二</w:t>
      </w:r>
      <w:r>
        <w:rPr>
          <w:rFonts w:hint="eastAsia" w:ascii="宋体" w:hAnsi="宋体" w:cs="宋体"/>
          <w:color w:val="auto"/>
          <w:sz w:val="26"/>
          <w:szCs w:val="26"/>
          <w:highlight w:val="none"/>
          <w:lang w:val="zh-CN"/>
        </w:rPr>
        <w:t>）设备的固定安装符合施工要求，安装美观，整体走线符合施工工艺要求，如安装位置是填充材料，须进行加固处理</w:t>
      </w:r>
      <w:r>
        <w:rPr>
          <w:rFonts w:ascii="宋体" w:hAnsi="宋体" w:cs="宋体"/>
          <w:color w:val="auto"/>
          <w:sz w:val="26"/>
          <w:szCs w:val="26"/>
          <w:highlight w:val="none"/>
        </w:rPr>
        <w:t>，施工过程中如涉及破坏原建筑物，需按要求恢复</w:t>
      </w:r>
      <w:r>
        <w:rPr>
          <w:rFonts w:hint="eastAsia" w:ascii="宋体" w:hAnsi="宋体" w:cs="宋体"/>
          <w:color w:val="auto"/>
          <w:sz w:val="26"/>
          <w:szCs w:val="26"/>
          <w:highlight w:val="none"/>
          <w:lang w:val="zh-CN"/>
        </w:rPr>
        <w:t>。</w:t>
      </w:r>
    </w:p>
    <w:p>
      <w:pPr>
        <w:pStyle w:val="4"/>
        <w:spacing w:after="0" w:line="460" w:lineRule="exact"/>
        <w:ind w:firstLine="520" w:firstLineChars="200"/>
        <w:rPr>
          <w:rFonts w:hint="eastAsia" w:ascii="宋体" w:hAnsi="宋体" w:cs="宋体"/>
          <w:color w:val="auto"/>
          <w:sz w:val="26"/>
          <w:szCs w:val="26"/>
          <w:highlight w:val="none"/>
          <w:lang w:val="zh-CN"/>
        </w:rPr>
      </w:pPr>
      <w:r>
        <w:rPr>
          <w:rFonts w:hint="eastAsia" w:ascii="宋体" w:hAnsi="宋体" w:cs="宋体"/>
          <w:color w:val="auto"/>
          <w:sz w:val="26"/>
          <w:szCs w:val="26"/>
          <w:highlight w:val="none"/>
          <w:lang w:val="zh-CN"/>
        </w:rPr>
        <w:t>（</w:t>
      </w:r>
      <w:r>
        <w:rPr>
          <w:rFonts w:hint="eastAsia" w:ascii="宋体" w:hAnsi="宋体" w:cs="宋体"/>
          <w:color w:val="auto"/>
          <w:sz w:val="26"/>
          <w:szCs w:val="26"/>
          <w:highlight w:val="none"/>
        </w:rPr>
        <w:t>三</w:t>
      </w:r>
      <w:r>
        <w:rPr>
          <w:rFonts w:hint="eastAsia" w:ascii="宋体" w:hAnsi="宋体" w:cs="宋体"/>
          <w:color w:val="auto"/>
          <w:sz w:val="26"/>
          <w:szCs w:val="26"/>
          <w:highlight w:val="none"/>
          <w:lang w:val="zh-CN"/>
        </w:rPr>
        <w:t>）线材管材、设备间连接线、转接头、电源插座板等均采用经质检合格的产品。</w:t>
      </w:r>
    </w:p>
    <w:p>
      <w:pPr>
        <w:widowControl/>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七、质保期及售后服务的要求</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lang w:val="zh-CN"/>
        </w:rPr>
      </w:pPr>
      <w:r>
        <w:rPr>
          <w:rFonts w:hint="eastAsia" w:ascii="宋体" w:hAnsi="宋体" w:cs="宋体"/>
          <w:color w:val="auto"/>
          <w:kern w:val="0"/>
          <w:sz w:val="26"/>
          <w:szCs w:val="26"/>
          <w:highlight w:val="none"/>
          <w:lang w:val="zh-CN"/>
        </w:rPr>
        <w:t>（</w:t>
      </w:r>
      <w:r>
        <w:rPr>
          <w:rFonts w:hint="eastAsia" w:ascii="宋体" w:hAnsi="宋体" w:cs="宋体"/>
          <w:color w:val="auto"/>
          <w:kern w:val="0"/>
          <w:sz w:val="26"/>
          <w:szCs w:val="26"/>
          <w:highlight w:val="none"/>
        </w:rPr>
        <w:t>一</w:t>
      </w:r>
      <w:r>
        <w:rPr>
          <w:rFonts w:hint="eastAsia" w:ascii="宋体" w:hAnsi="宋体" w:cs="宋体"/>
          <w:color w:val="auto"/>
          <w:kern w:val="0"/>
          <w:sz w:val="26"/>
          <w:szCs w:val="26"/>
          <w:highlight w:val="none"/>
          <w:lang w:val="zh-CN"/>
        </w:rPr>
        <w:t>）质保期</w:t>
      </w:r>
      <w:r>
        <w:rPr>
          <w:rFonts w:hint="eastAsia" w:ascii="宋体" w:hAnsi="宋体" w:cs="宋体"/>
          <w:color w:val="auto"/>
          <w:kern w:val="0"/>
          <w:sz w:val="26"/>
          <w:szCs w:val="26"/>
          <w:highlight w:val="none"/>
        </w:rPr>
        <w:t>为X年，自最终验收合格之日起，质保期</w:t>
      </w:r>
      <w:r>
        <w:rPr>
          <w:rFonts w:hint="eastAsia" w:ascii="宋体" w:hAnsi="宋体" w:cs="宋体"/>
          <w:color w:val="auto"/>
          <w:kern w:val="0"/>
          <w:sz w:val="26"/>
          <w:szCs w:val="26"/>
          <w:highlight w:val="none"/>
          <w:lang w:val="zh-CN"/>
        </w:rPr>
        <w:t>内出现质量问题，</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rPr>
        <w:t>在接到通知后8小时内响应到场，24小时内完成维修或更换，并承担修理</w:t>
      </w:r>
      <w:r>
        <w:rPr>
          <w:rFonts w:hint="eastAsia" w:ascii="宋体" w:hAnsi="宋体" w:cs="宋体"/>
          <w:color w:val="auto"/>
          <w:kern w:val="0"/>
          <w:sz w:val="26"/>
          <w:szCs w:val="26"/>
          <w:highlight w:val="none"/>
        </w:rPr>
        <w:t>更</w:t>
      </w:r>
      <w:r>
        <w:rPr>
          <w:rFonts w:hint="eastAsia" w:ascii="宋体" w:hAnsi="宋体" w:cs="宋体"/>
          <w:color w:val="auto"/>
          <w:kern w:val="0"/>
          <w:sz w:val="26"/>
          <w:szCs w:val="26"/>
          <w:highlight w:val="none"/>
          <w:lang w:val="zh-CN"/>
        </w:rPr>
        <w:t>换</w:t>
      </w:r>
      <w:r>
        <w:rPr>
          <w:rFonts w:hint="eastAsia" w:ascii="宋体" w:hAnsi="宋体" w:cs="宋体"/>
          <w:color w:val="auto"/>
          <w:kern w:val="0"/>
          <w:sz w:val="26"/>
          <w:szCs w:val="26"/>
          <w:highlight w:val="none"/>
        </w:rPr>
        <w:t>产生</w:t>
      </w:r>
      <w:r>
        <w:rPr>
          <w:rFonts w:hint="eastAsia" w:ascii="宋体" w:hAnsi="宋体" w:cs="宋体"/>
          <w:color w:val="auto"/>
          <w:kern w:val="0"/>
          <w:sz w:val="26"/>
          <w:szCs w:val="26"/>
          <w:highlight w:val="none"/>
          <w:lang w:val="zh-CN"/>
        </w:rPr>
        <w:t>的费用；如货物经</w:t>
      </w:r>
      <w:r>
        <w:rPr>
          <w:rFonts w:hint="eastAsia" w:ascii="宋体" w:hAnsi="宋体" w:cs="宋体"/>
          <w:color w:val="auto"/>
          <w:kern w:val="0"/>
          <w:sz w:val="26"/>
          <w:szCs w:val="26"/>
          <w:highlight w:val="none"/>
        </w:rPr>
        <w:t>乙方2</w:t>
      </w:r>
      <w:r>
        <w:rPr>
          <w:rFonts w:hint="eastAsia" w:ascii="宋体" w:hAnsi="宋体" w:cs="宋体"/>
          <w:color w:val="auto"/>
          <w:kern w:val="0"/>
          <w:sz w:val="26"/>
          <w:szCs w:val="26"/>
          <w:highlight w:val="none"/>
          <w:lang w:val="zh-CN"/>
        </w:rPr>
        <w:t>次维修仍不能达到本合同约定的质量标准，视作</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rPr>
        <w:t>未能按时交货，</w:t>
      </w:r>
      <w:r>
        <w:rPr>
          <w:rFonts w:hint="eastAsia" w:ascii="宋体" w:hAnsi="宋体" w:cs="宋体"/>
          <w:color w:val="auto"/>
          <w:kern w:val="0"/>
          <w:sz w:val="26"/>
          <w:szCs w:val="26"/>
          <w:highlight w:val="none"/>
        </w:rPr>
        <w:t>甲方</w:t>
      </w:r>
      <w:r>
        <w:rPr>
          <w:rFonts w:hint="eastAsia" w:ascii="宋体" w:hAnsi="宋体" w:cs="宋体"/>
          <w:color w:val="auto"/>
          <w:kern w:val="0"/>
          <w:sz w:val="26"/>
          <w:szCs w:val="26"/>
          <w:highlight w:val="none"/>
          <w:lang w:val="zh-CN"/>
        </w:rPr>
        <w:t>有权追究</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rPr>
        <w:t>的违约责任。</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lang w:val="zh-CN"/>
        </w:rPr>
      </w:pPr>
      <w:r>
        <w:rPr>
          <w:rFonts w:hint="eastAsia" w:ascii="宋体" w:hAnsi="宋体" w:cs="宋体"/>
          <w:color w:val="auto"/>
          <w:kern w:val="0"/>
          <w:sz w:val="26"/>
          <w:szCs w:val="26"/>
          <w:highlight w:val="none"/>
        </w:rPr>
        <w:t>（二）乙方须负责</w:t>
      </w:r>
      <w:r>
        <w:rPr>
          <w:rFonts w:hint="eastAsia" w:ascii="宋体" w:hAnsi="宋体" w:cs="宋体"/>
          <w:color w:val="auto"/>
          <w:kern w:val="0"/>
          <w:sz w:val="26"/>
          <w:szCs w:val="26"/>
          <w:highlight w:val="none"/>
          <w:lang w:val="zh-CN"/>
        </w:rPr>
        <w:t>提供</w:t>
      </w:r>
      <w:r>
        <w:rPr>
          <w:rFonts w:hint="eastAsia" w:ascii="宋体" w:hAnsi="宋体" w:cs="宋体"/>
          <w:color w:val="auto"/>
          <w:kern w:val="0"/>
          <w:sz w:val="26"/>
          <w:szCs w:val="26"/>
          <w:highlight w:val="none"/>
        </w:rPr>
        <w:t>一次及以上的</w:t>
      </w:r>
      <w:r>
        <w:rPr>
          <w:rFonts w:hint="eastAsia" w:ascii="宋体" w:hAnsi="宋体" w:cs="宋体"/>
          <w:color w:val="auto"/>
          <w:kern w:val="0"/>
          <w:sz w:val="26"/>
          <w:szCs w:val="26"/>
          <w:highlight w:val="none"/>
          <w:lang w:val="zh-CN"/>
        </w:rPr>
        <w:t>技术培训，</w:t>
      </w:r>
      <w:r>
        <w:rPr>
          <w:rFonts w:hint="eastAsia" w:ascii="宋体" w:hAnsi="宋体" w:cs="宋体"/>
          <w:color w:val="auto"/>
          <w:kern w:val="0"/>
          <w:sz w:val="26"/>
          <w:szCs w:val="26"/>
          <w:highlight w:val="none"/>
        </w:rPr>
        <w:t>并</w:t>
      </w:r>
      <w:r>
        <w:rPr>
          <w:rFonts w:hint="eastAsia" w:ascii="宋体" w:hAnsi="宋体" w:cs="宋体"/>
          <w:color w:val="auto"/>
          <w:kern w:val="0"/>
          <w:sz w:val="26"/>
          <w:szCs w:val="26"/>
          <w:highlight w:val="none"/>
          <w:lang w:val="zh-CN"/>
        </w:rPr>
        <w:t>长期</w:t>
      </w:r>
      <w:r>
        <w:rPr>
          <w:rFonts w:hint="eastAsia" w:ascii="宋体" w:hAnsi="宋体" w:cs="宋体"/>
          <w:color w:val="auto"/>
          <w:kern w:val="0"/>
          <w:sz w:val="26"/>
          <w:szCs w:val="26"/>
          <w:highlight w:val="none"/>
        </w:rPr>
        <w:t>提供</w:t>
      </w:r>
      <w:r>
        <w:rPr>
          <w:rFonts w:hint="eastAsia" w:ascii="宋体" w:hAnsi="宋体" w:cs="宋体"/>
          <w:color w:val="auto"/>
          <w:kern w:val="0"/>
          <w:sz w:val="26"/>
          <w:szCs w:val="26"/>
          <w:highlight w:val="none"/>
          <w:lang w:val="zh-CN"/>
        </w:rPr>
        <w:t>技术支持。（培训费用已包含在</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rPr>
        <w:t>报价中）。</w:t>
      </w:r>
    </w:p>
    <w:p>
      <w:pPr>
        <w:pStyle w:val="14"/>
        <w:spacing w:line="460" w:lineRule="exact"/>
        <w:ind w:firstLine="520"/>
        <w:rPr>
          <w:rFonts w:hint="eastAsia" w:ascii="宋体" w:hAnsi="宋体"/>
          <w:color w:val="auto"/>
          <w:sz w:val="26"/>
          <w:szCs w:val="26"/>
          <w:highlight w:val="none"/>
        </w:rPr>
      </w:pPr>
      <w:r>
        <w:rPr>
          <w:rFonts w:hint="eastAsia" w:ascii="宋体" w:hAnsi="宋体"/>
          <w:color w:val="auto"/>
          <w:sz w:val="26"/>
          <w:szCs w:val="26"/>
          <w:highlight w:val="none"/>
        </w:rPr>
        <w:t>（三）乙方须指派专人负责与甲方联系售后服务事宜。 </w:t>
      </w:r>
    </w:p>
    <w:p>
      <w:pPr>
        <w:pStyle w:val="14"/>
        <w:spacing w:line="460" w:lineRule="exact"/>
        <w:ind w:firstLine="520"/>
        <w:rPr>
          <w:rFonts w:ascii="宋体" w:hAnsi="宋体"/>
          <w:color w:val="auto"/>
          <w:sz w:val="26"/>
          <w:szCs w:val="26"/>
          <w:highlight w:val="none"/>
          <w:u w:val="single"/>
        </w:rPr>
      </w:pPr>
      <w:r>
        <w:rPr>
          <w:rFonts w:hint="eastAsia" w:ascii="宋体" w:hAnsi="宋体"/>
          <w:color w:val="auto"/>
          <w:sz w:val="26"/>
          <w:szCs w:val="26"/>
          <w:highlight w:val="none"/>
        </w:rPr>
        <w:t>联系人姓名：</w:t>
      </w:r>
      <w:r>
        <w:rPr>
          <w:rFonts w:hint="eastAsia" w:ascii="宋体" w:hAnsi="宋体"/>
          <w:color w:val="auto"/>
          <w:sz w:val="26"/>
          <w:szCs w:val="26"/>
          <w:highlight w:val="none"/>
          <w:u w:val="single"/>
        </w:rPr>
        <w:t xml:space="preserve">       </w:t>
      </w:r>
      <w:r>
        <w:rPr>
          <w:rFonts w:hint="eastAsia" w:ascii="宋体" w:hAnsi="宋体"/>
          <w:color w:val="auto"/>
          <w:sz w:val="26"/>
          <w:szCs w:val="26"/>
          <w:highlight w:val="none"/>
        </w:rPr>
        <w:t>；电话：</w:t>
      </w:r>
      <w:r>
        <w:rPr>
          <w:rFonts w:hint="eastAsia" w:ascii="宋体" w:hAnsi="宋体"/>
          <w:color w:val="auto"/>
          <w:sz w:val="26"/>
          <w:szCs w:val="26"/>
          <w:highlight w:val="none"/>
          <w:u w:val="single"/>
        </w:rPr>
        <w:t xml:space="preserve">           </w:t>
      </w:r>
      <w:r>
        <w:rPr>
          <w:rFonts w:hint="eastAsia" w:ascii="宋体" w:hAnsi="宋体"/>
          <w:color w:val="auto"/>
          <w:sz w:val="26"/>
          <w:szCs w:val="26"/>
          <w:highlight w:val="none"/>
        </w:rPr>
        <w:t>；身份证号：</w:t>
      </w:r>
      <w:r>
        <w:rPr>
          <w:rFonts w:hint="eastAsia" w:ascii="宋体" w:hAnsi="宋体"/>
          <w:color w:val="auto"/>
          <w:sz w:val="26"/>
          <w:szCs w:val="26"/>
          <w:highlight w:val="none"/>
          <w:u w:val="single"/>
        </w:rPr>
        <w:t xml:space="preserve">             </w:t>
      </w:r>
      <w:r>
        <w:rPr>
          <w:rFonts w:hint="eastAsia" w:ascii="宋体" w:hAnsi="宋体"/>
          <w:color w:val="auto"/>
          <w:sz w:val="26"/>
          <w:szCs w:val="26"/>
          <w:highlight w:val="none"/>
        </w:rPr>
        <w:t>。</w:t>
      </w:r>
    </w:p>
    <w:p>
      <w:pPr>
        <w:widowControl/>
        <w:adjustRightInd w:val="0"/>
        <w:snapToGrid w:val="0"/>
        <w:spacing w:line="460" w:lineRule="exact"/>
        <w:ind w:firstLine="522" w:firstLineChars="200"/>
        <w:jc w:val="left"/>
        <w:rPr>
          <w:rFonts w:hint="eastAsia" w:ascii="宋体" w:hAnsi="宋体" w:cs="宋体"/>
          <w:b/>
          <w:bCs/>
          <w:color w:val="auto"/>
          <w:kern w:val="0"/>
          <w:sz w:val="26"/>
          <w:szCs w:val="26"/>
          <w:highlight w:val="none"/>
        </w:rPr>
      </w:pPr>
    </w:p>
    <w:p>
      <w:pPr>
        <w:widowControl/>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八、项目现场</w:t>
      </w:r>
    </w:p>
    <w:p>
      <w:pPr>
        <w:pStyle w:val="14"/>
        <w:spacing w:line="460" w:lineRule="exact"/>
        <w:ind w:firstLine="520"/>
        <w:rPr>
          <w:rFonts w:hint="eastAsia" w:ascii="宋体" w:hAnsi="宋体"/>
          <w:color w:val="auto"/>
          <w:sz w:val="26"/>
          <w:szCs w:val="26"/>
          <w:highlight w:val="none"/>
          <w:lang w:val="zh-CN"/>
        </w:rPr>
      </w:pPr>
      <w:r>
        <w:rPr>
          <w:rFonts w:hint="eastAsia" w:ascii="宋体" w:hAnsi="宋体"/>
          <w:color w:val="auto"/>
          <w:sz w:val="26"/>
          <w:szCs w:val="26"/>
          <w:highlight w:val="none"/>
        </w:rPr>
        <w:t>甲方指定的地点。（双流区内）</w:t>
      </w:r>
    </w:p>
    <w:p>
      <w:pPr>
        <w:widowControl/>
        <w:numPr>
          <w:ilvl w:val="0"/>
          <w:numId w:val="3"/>
        </w:numPr>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履行合同的时间、地点及方式</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lang w:val="zh-CN"/>
        </w:rPr>
        <w:t>（</w:t>
      </w:r>
      <w:r>
        <w:rPr>
          <w:rFonts w:hint="eastAsia" w:ascii="宋体" w:hAnsi="宋体" w:cs="宋体"/>
          <w:color w:val="auto"/>
          <w:kern w:val="0"/>
          <w:sz w:val="26"/>
          <w:szCs w:val="26"/>
          <w:highlight w:val="none"/>
        </w:rPr>
        <w:t>一</w:t>
      </w:r>
      <w:r>
        <w:rPr>
          <w:rFonts w:hint="eastAsia" w:ascii="宋体" w:hAnsi="宋体" w:cs="宋体"/>
          <w:color w:val="auto"/>
          <w:kern w:val="0"/>
          <w:sz w:val="26"/>
          <w:szCs w:val="26"/>
          <w:highlight w:val="none"/>
          <w:lang w:val="zh-CN"/>
        </w:rPr>
        <w:t>）甲方名称、地址：成都市双流区教育技术装备管理中心、成都市双流区东升街道花月中街25号</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（二）履约时间、地点：在合同签订生效后30日内送货到甲方指定地点，安装调试无问题后交付使用。若因最终使用方原因导致乙方无法交付的，甲方可依据实际情况对履约时间进行调整。</w:t>
      </w:r>
    </w:p>
    <w:p>
      <w:pPr>
        <w:widowControl/>
        <w:numPr>
          <w:ilvl w:val="0"/>
          <w:numId w:val="4"/>
        </w:numPr>
        <w:adjustRightInd w:val="0"/>
        <w:snapToGrid w:val="0"/>
        <w:spacing w:line="460" w:lineRule="exact"/>
        <w:ind w:firstLine="522" w:firstLineChars="20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合同价款支付方式和条件</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lang w:val="zh-CN"/>
        </w:rPr>
      </w:pPr>
      <w:r>
        <w:rPr>
          <w:rFonts w:hint="eastAsia" w:ascii="宋体" w:hAnsi="宋体" w:cs="宋体"/>
          <w:color w:val="auto"/>
          <w:kern w:val="0"/>
          <w:sz w:val="26"/>
          <w:szCs w:val="26"/>
          <w:highlight w:val="none"/>
          <w:lang w:val="zh-CN"/>
        </w:rPr>
        <w:t>（</w:t>
      </w:r>
      <w:r>
        <w:rPr>
          <w:rFonts w:hint="eastAsia" w:ascii="宋体" w:hAnsi="宋体" w:cs="宋体"/>
          <w:color w:val="auto"/>
          <w:kern w:val="0"/>
          <w:sz w:val="26"/>
          <w:szCs w:val="26"/>
          <w:highlight w:val="none"/>
        </w:rPr>
        <w:t>一</w:t>
      </w:r>
      <w:r>
        <w:rPr>
          <w:rFonts w:hint="eastAsia" w:ascii="宋体" w:hAnsi="宋体" w:cs="宋体"/>
          <w:color w:val="auto"/>
          <w:kern w:val="0"/>
          <w:sz w:val="26"/>
          <w:szCs w:val="26"/>
          <w:highlight w:val="none"/>
          <w:lang w:val="zh-CN"/>
        </w:rPr>
        <w:t>）合同签订并收到乙方提供等额真实有效合法票据后1</w:t>
      </w:r>
      <w:r>
        <w:rPr>
          <w:rFonts w:hint="eastAsia" w:ascii="宋体" w:hAnsi="宋体" w:cs="宋体"/>
          <w:color w:val="auto"/>
          <w:kern w:val="0"/>
          <w:sz w:val="26"/>
          <w:szCs w:val="26"/>
          <w:highlight w:val="none"/>
        </w:rPr>
        <w:t>0个工作</w:t>
      </w:r>
      <w:r>
        <w:rPr>
          <w:rFonts w:hint="eastAsia" w:ascii="宋体" w:hAnsi="宋体" w:cs="宋体"/>
          <w:color w:val="auto"/>
          <w:kern w:val="0"/>
          <w:sz w:val="26"/>
          <w:szCs w:val="26"/>
          <w:highlight w:val="none"/>
          <w:lang w:val="zh-CN"/>
        </w:rPr>
        <w:t>日内付合同金额的 3</w:t>
      </w:r>
      <w:r>
        <w:rPr>
          <w:rFonts w:hint="eastAsia" w:ascii="宋体" w:hAnsi="宋体" w:cs="宋体"/>
          <w:color w:val="auto"/>
          <w:kern w:val="0"/>
          <w:sz w:val="26"/>
          <w:szCs w:val="26"/>
          <w:highlight w:val="none"/>
        </w:rPr>
        <w:t>5</w:t>
      </w:r>
      <w:r>
        <w:rPr>
          <w:rFonts w:hint="eastAsia" w:ascii="宋体" w:hAnsi="宋体" w:cs="宋体"/>
          <w:color w:val="auto"/>
          <w:kern w:val="0"/>
          <w:sz w:val="26"/>
          <w:szCs w:val="26"/>
          <w:highlight w:val="none"/>
          <w:lang w:val="zh-CN"/>
        </w:rPr>
        <w:t>% 作为预付款（乙方为中小企业的，合同签订并收到乙方提供等额真实有效合法票据后</w:t>
      </w:r>
      <w:r>
        <w:rPr>
          <w:rFonts w:hint="eastAsia" w:ascii="宋体" w:hAnsi="宋体" w:cs="宋体"/>
          <w:color w:val="auto"/>
          <w:kern w:val="0"/>
          <w:sz w:val="26"/>
          <w:szCs w:val="26"/>
          <w:highlight w:val="none"/>
        </w:rPr>
        <w:t>10个工作日</w:t>
      </w:r>
      <w:r>
        <w:rPr>
          <w:rFonts w:hint="eastAsia" w:ascii="宋体" w:hAnsi="宋体" w:cs="宋体"/>
          <w:color w:val="auto"/>
          <w:kern w:val="0"/>
          <w:sz w:val="26"/>
          <w:szCs w:val="26"/>
          <w:highlight w:val="none"/>
          <w:lang w:val="zh-CN"/>
        </w:rPr>
        <w:t>内付合同金额的 4</w:t>
      </w:r>
      <w:r>
        <w:rPr>
          <w:rFonts w:hint="eastAsia" w:ascii="宋体" w:hAnsi="宋体" w:cs="宋体"/>
          <w:color w:val="auto"/>
          <w:kern w:val="0"/>
          <w:sz w:val="26"/>
          <w:szCs w:val="26"/>
          <w:highlight w:val="none"/>
        </w:rPr>
        <w:t>5</w:t>
      </w:r>
      <w:r>
        <w:rPr>
          <w:rFonts w:hint="eastAsia" w:ascii="宋体" w:hAnsi="宋体" w:cs="宋体"/>
          <w:color w:val="auto"/>
          <w:kern w:val="0"/>
          <w:sz w:val="26"/>
          <w:szCs w:val="26"/>
          <w:highlight w:val="none"/>
          <w:lang w:val="zh-CN"/>
        </w:rPr>
        <w:t>% 作为预付款）；最终验收合格且乙方提供等额真实有效合法票据后1</w:t>
      </w:r>
      <w:r>
        <w:rPr>
          <w:rFonts w:hint="eastAsia" w:ascii="宋体" w:hAnsi="宋体" w:cs="宋体"/>
          <w:color w:val="auto"/>
          <w:kern w:val="0"/>
          <w:sz w:val="26"/>
          <w:szCs w:val="26"/>
          <w:highlight w:val="none"/>
        </w:rPr>
        <w:t>0个工作</w:t>
      </w:r>
      <w:r>
        <w:rPr>
          <w:rFonts w:hint="eastAsia" w:ascii="宋体" w:hAnsi="宋体" w:cs="宋体"/>
          <w:color w:val="auto"/>
          <w:kern w:val="0"/>
          <w:sz w:val="26"/>
          <w:szCs w:val="26"/>
          <w:highlight w:val="none"/>
          <w:lang w:val="zh-CN"/>
        </w:rPr>
        <w:t>日内（乙方为中小企业的，最终验收合格且乙方提供等额真实有效合法票据后10个工作日内）支付至合同金额的</w:t>
      </w:r>
      <w:r>
        <w:rPr>
          <w:rFonts w:hint="eastAsia" w:ascii="宋体" w:hAnsi="宋体" w:cs="宋体"/>
          <w:color w:val="auto"/>
          <w:kern w:val="0"/>
          <w:sz w:val="26"/>
          <w:szCs w:val="26"/>
          <w:highlight w:val="none"/>
        </w:rPr>
        <w:t>100</w:t>
      </w:r>
      <w:r>
        <w:rPr>
          <w:rFonts w:hint="eastAsia" w:ascii="宋体" w:hAnsi="宋体" w:cs="宋体"/>
          <w:color w:val="auto"/>
          <w:kern w:val="0"/>
          <w:sz w:val="26"/>
          <w:szCs w:val="26"/>
          <w:highlight w:val="none"/>
          <w:lang w:val="zh-CN"/>
        </w:rPr>
        <w:t>%。</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lang w:val="zh-CN"/>
        </w:rPr>
      </w:pPr>
      <w:r>
        <w:rPr>
          <w:rFonts w:hint="eastAsia" w:ascii="宋体" w:hAnsi="宋体" w:cs="宋体"/>
          <w:color w:val="auto"/>
          <w:kern w:val="0"/>
          <w:sz w:val="26"/>
          <w:szCs w:val="26"/>
          <w:highlight w:val="none"/>
          <w:lang w:val="zh-CN"/>
        </w:rPr>
        <w:t>（</w:t>
      </w:r>
      <w:r>
        <w:rPr>
          <w:rFonts w:hint="eastAsia" w:ascii="宋体" w:hAnsi="宋体" w:cs="宋体"/>
          <w:color w:val="auto"/>
          <w:kern w:val="0"/>
          <w:sz w:val="26"/>
          <w:szCs w:val="26"/>
          <w:highlight w:val="none"/>
        </w:rPr>
        <w:t>二</w:t>
      </w:r>
      <w:r>
        <w:rPr>
          <w:rFonts w:hint="eastAsia" w:ascii="宋体" w:hAnsi="宋体" w:cs="宋体"/>
          <w:color w:val="auto"/>
          <w:kern w:val="0"/>
          <w:sz w:val="26"/>
          <w:szCs w:val="26"/>
          <w:highlight w:val="none"/>
          <w:lang w:val="zh-CN"/>
        </w:rPr>
        <w:t>）</w:t>
      </w:r>
      <w:r>
        <w:rPr>
          <w:rFonts w:hint="eastAsia" w:ascii="宋体" w:hAnsi="宋体" w:cs="宋体"/>
          <w:color w:val="auto"/>
          <w:kern w:val="0"/>
          <w:sz w:val="26"/>
          <w:szCs w:val="26"/>
          <w:highlight w:val="none"/>
        </w:rPr>
        <w:t>付款前，</w:t>
      </w:r>
      <w:r>
        <w:rPr>
          <w:rFonts w:hint="eastAsia" w:ascii="宋体" w:hAnsi="宋体" w:cs="宋体"/>
          <w:color w:val="auto"/>
          <w:kern w:val="0"/>
          <w:sz w:val="26"/>
          <w:szCs w:val="26"/>
          <w:highlight w:val="none"/>
          <w:lang w:val="zh-CN"/>
        </w:rPr>
        <w:t>乙方须向甲方</w:t>
      </w:r>
      <w:r>
        <w:rPr>
          <w:rFonts w:ascii="宋体" w:hAnsi="宋体" w:cs="宋体"/>
          <w:color w:val="auto"/>
          <w:kern w:val="0"/>
          <w:sz w:val="26"/>
          <w:szCs w:val="26"/>
          <w:highlight w:val="none"/>
          <w:lang w:val="zh-CN"/>
        </w:rPr>
        <w:t>提供等额真实有效合法</w:t>
      </w:r>
      <w:r>
        <w:rPr>
          <w:rFonts w:ascii="宋体" w:hAnsi="宋体" w:cs="宋体"/>
          <w:color w:val="auto"/>
          <w:kern w:val="0"/>
          <w:sz w:val="26"/>
          <w:szCs w:val="26"/>
          <w:highlight w:val="none"/>
        </w:rPr>
        <w:t>票据</w:t>
      </w:r>
      <w:r>
        <w:rPr>
          <w:rFonts w:hint="eastAsia" w:ascii="宋体" w:hAnsi="宋体" w:cs="宋体"/>
          <w:color w:val="auto"/>
          <w:kern w:val="0"/>
          <w:sz w:val="26"/>
          <w:szCs w:val="26"/>
          <w:highlight w:val="none"/>
          <w:lang w:val="zh-CN"/>
        </w:rPr>
        <w:t>后进行支付结算，</w:t>
      </w:r>
      <w:r>
        <w:rPr>
          <w:rFonts w:hint="eastAsia" w:ascii="宋体" w:hAnsi="宋体" w:cs="宋体"/>
          <w:color w:val="auto"/>
          <w:kern w:val="0"/>
          <w:sz w:val="26"/>
          <w:szCs w:val="26"/>
          <w:highlight w:val="none"/>
        </w:rPr>
        <w:t>若乙方不开具发票（开具发票不符合约定）或</w:t>
      </w:r>
      <w:r>
        <w:rPr>
          <w:rFonts w:hint="eastAsia" w:ascii="宋体" w:hAnsi="宋体" w:cs="宋体"/>
          <w:color w:val="auto"/>
          <w:kern w:val="0"/>
          <w:sz w:val="26"/>
          <w:szCs w:val="26"/>
          <w:highlight w:val="none"/>
          <w:lang w:eastAsia="zh-Hans"/>
        </w:rPr>
        <w:t>不提交资料凭证</w:t>
      </w:r>
      <w:r>
        <w:rPr>
          <w:rFonts w:hint="eastAsia" w:ascii="宋体" w:hAnsi="宋体" w:cs="宋体"/>
          <w:color w:val="auto"/>
          <w:kern w:val="0"/>
          <w:sz w:val="26"/>
          <w:szCs w:val="26"/>
          <w:highlight w:val="none"/>
        </w:rPr>
        <w:t>（</w:t>
      </w:r>
      <w:r>
        <w:rPr>
          <w:rFonts w:hint="eastAsia" w:ascii="宋体" w:hAnsi="宋体" w:cs="宋体"/>
          <w:color w:val="auto"/>
          <w:kern w:val="0"/>
          <w:sz w:val="26"/>
          <w:szCs w:val="26"/>
          <w:highlight w:val="none"/>
          <w:lang w:eastAsia="zh-Hans"/>
        </w:rPr>
        <w:t>资料凭证不符合约定</w:t>
      </w:r>
      <w:r>
        <w:rPr>
          <w:rFonts w:hint="eastAsia" w:ascii="宋体" w:hAnsi="宋体" w:cs="宋体"/>
          <w:color w:val="auto"/>
          <w:kern w:val="0"/>
          <w:sz w:val="26"/>
          <w:szCs w:val="26"/>
          <w:highlight w:val="none"/>
        </w:rPr>
        <w:t>），甲方有权顺延付款期限且不承担逾期付款的责任；</w:t>
      </w:r>
      <w:r>
        <w:rPr>
          <w:rFonts w:hint="eastAsia" w:ascii="宋体" w:hAnsi="宋体" w:cs="宋体"/>
          <w:color w:val="auto"/>
          <w:kern w:val="0"/>
          <w:sz w:val="26"/>
          <w:szCs w:val="26"/>
          <w:highlight w:val="none"/>
          <w:lang w:val="zh-CN"/>
        </w:rPr>
        <w:t>付款方式均采用公对公的银行转账，乙方接受转账的开户信息以采购合同载明的为准。</w:t>
      </w:r>
      <w:r>
        <w:rPr>
          <w:rFonts w:ascii="宋体" w:hAnsi="宋体" w:cs="宋体"/>
          <w:color w:val="auto"/>
          <w:kern w:val="0"/>
          <w:sz w:val="26"/>
          <w:szCs w:val="26"/>
          <w:highlight w:val="none"/>
        </w:rPr>
        <w:t>若因乙方提供的账户等信息有误导致转账失败或错付，乙方承担责任。</w:t>
      </w:r>
    </w:p>
    <w:p>
      <w:pPr>
        <w:widowControl/>
        <w:adjustRightInd w:val="0"/>
        <w:snapToGrid w:val="0"/>
        <w:spacing w:line="460" w:lineRule="exact"/>
        <w:ind w:left="420"/>
        <w:jc w:val="left"/>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十一、违约责任：</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（一）甲方违约责任</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1、甲方无正当理由拒收货物、拒付货款的，</w:t>
      </w:r>
      <w:r>
        <w:rPr>
          <w:rFonts w:ascii="宋体" w:hAnsi="宋体" w:cs="宋体"/>
          <w:color w:val="auto"/>
          <w:kern w:val="0"/>
          <w:sz w:val="26"/>
          <w:szCs w:val="26"/>
          <w:highlight w:val="none"/>
        </w:rPr>
        <w:t>乙方有权要求</w:t>
      </w:r>
      <w:r>
        <w:rPr>
          <w:rFonts w:hint="eastAsia" w:ascii="宋体" w:hAnsi="宋体" w:cs="宋体"/>
          <w:color w:val="auto"/>
          <w:kern w:val="0"/>
          <w:sz w:val="26"/>
          <w:szCs w:val="26"/>
          <w:highlight w:val="none"/>
        </w:rPr>
        <w:t>甲方</w:t>
      </w:r>
      <w:r>
        <w:rPr>
          <w:rFonts w:ascii="宋体" w:hAnsi="宋体" w:cs="宋体"/>
          <w:color w:val="auto"/>
          <w:kern w:val="0"/>
          <w:sz w:val="26"/>
          <w:szCs w:val="26"/>
          <w:highlight w:val="none"/>
        </w:rPr>
        <w:t>支付</w:t>
      </w:r>
      <w:r>
        <w:rPr>
          <w:rFonts w:hint="eastAsia" w:ascii="宋体" w:hAnsi="宋体" w:cs="宋体"/>
          <w:color w:val="auto"/>
          <w:kern w:val="0"/>
          <w:sz w:val="26"/>
          <w:szCs w:val="26"/>
          <w:highlight w:val="none"/>
        </w:rPr>
        <w:t>货款</w:t>
      </w:r>
      <w:r>
        <w:rPr>
          <w:rFonts w:ascii="宋体" w:hAnsi="宋体" w:cs="宋体"/>
          <w:color w:val="auto"/>
          <w:kern w:val="0"/>
          <w:sz w:val="26"/>
          <w:szCs w:val="26"/>
          <w:highlight w:val="none"/>
        </w:rPr>
        <w:t>10</w:t>
      </w:r>
      <w:r>
        <w:rPr>
          <w:rFonts w:hint="eastAsia" w:ascii="宋体" w:hAnsi="宋体" w:cs="宋体"/>
          <w:color w:val="auto"/>
          <w:kern w:val="0"/>
          <w:sz w:val="26"/>
          <w:szCs w:val="26"/>
          <w:highlight w:val="none"/>
        </w:rPr>
        <w:t>％的违约金。</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2、甲方按项目进度付款，不得无故拖延应付款，如项目最终验收合格后，甲方如逾期未支付款项应向乙方进行合理说明，若甲方未进行合理说明，乙方有权要求甲方支付违约金，按应付金额0.1‰/日支付，但累计违约金总额不超过欠款总额的1％。若非甲方原因导致延迟付款，甲方不承担违约责任。</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（二）乙方违约责任</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1、乙方所交付的货物不符合本合同规定的，甲方有权拒收，同时乙方应向甲方支付合同总价20％的违约金。乙方应在得到甲方通知之日起10个工作日内采取补救措施,如采取补救措施达到要求后，退还合同总价20％的违约金。</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2、乙方无正当理由逾期交付货物的，每逾期1日，乙方向甲方偿付逾期交货部分货款总金额的3%的违约金。如乙方逾期交货达10日，甲方有权解除合同，甲方解除合同的通知自到达乙方时生效。在此情况下，乙方给甲方造成的实际损失高于违约金的，对高出违约金的部分乙方应予以赔偿。</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3、乙方保证在项目验收合格之日起，设备在一年内运行（使用）过程中无任何质量问题，若在一年内存在质量问题，乙方须按甲方要求完成整改；同时，在乙方承诺的或国家规定的质量保证期内（取两者中最长的期限），如经乙方2次维修，货物仍不能达到合同约定的质量标准、运行效果的，甲方有权要求乙方更换为全新合格货物并按本条第1款处理，且乙方还须赔偿甲方因此遭受的损失。</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4、因本项目产生的知识产权归甲方所有，乙方保证本合同货物的权利无瑕疵，包括货物所有权及知识产权等权利无瑕疵。如产生了任何的纠纷、索赔或诉讼等，乙方除应向甲方返还已收款项外，还应另按合同总价的20%向甲方支付违约金并赔偿因此给甲方造成的一切损失。</w:t>
      </w:r>
    </w:p>
    <w:p>
      <w:pPr>
        <w:widowControl/>
        <w:adjustRightInd w:val="0"/>
        <w:snapToGrid w:val="0"/>
        <w:spacing w:line="460" w:lineRule="exact"/>
        <w:ind w:firstLine="520" w:firstLineChars="200"/>
        <w:jc w:val="left"/>
        <w:rPr>
          <w:rFonts w:ascii="宋体" w:hAnsi="宋体" w:cs="宋体"/>
          <w:color w:val="auto"/>
          <w:kern w:val="0"/>
          <w:sz w:val="26"/>
          <w:szCs w:val="26"/>
          <w:highlight w:val="none"/>
        </w:rPr>
      </w:pPr>
      <w:r>
        <w:rPr>
          <w:rFonts w:hint="eastAsia" w:ascii="宋体" w:hAnsi="宋体" w:cs="宋体"/>
          <w:color w:val="auto"/>
          <w:kern w:val="0"/>
          <w:sz w:val="26"/>
          <w:szCs w:val="26"/>
          <w:highlight w:val="none"/>
        </w:rPr>
        <w:t>5、乙方在履行合同过程中不得</w:t>
      </w:r>
      <w:r>
        <w:rPr>
          <w:rFonts w:ascii="宋体" w:hAnsi="宋体" w:cs="宋体"/>
          <w:color w:val="auto"/>
          <w:kern w:val="0"/>
          <w:sz w:val="26"/>
          <w:szCs w:val="26"/>
          <w:highlight w:val="none"/>
        </w:rPr>
        <w:t>以任何形式</w:t>
      </w:r>
      <w:r>
        <w:rPr>
          <w:rFonts w:hint="eastAsia" w:ascii="宋体" w:hAnsi="宋体" w:cs="宋体"/>
          <w:color w:val="auto"/>
          <w:kern w:val="0"/>
          <w:sz w:val="26"/>
          <w:szCs w:val="26"/>
          <w:highlight w:val="none"/>
        </w:rPr>
        <w:t>分包或转包给第三人，若乙方分包或转包给第三人的，乙方应向甲方支付合同总价2</w:t>
      </w:r>
      <w:r>
        <w:rPr>
          <w:rFonts w:ascii="宋体" w:hAnsi="宋体" w:cs="宋体"/>
          <w:color w:val="auto"/>
          <w:kern w:val="0"/>
          <w:sz w:val="26"/>
          <w:szCs w:val="26"/>
          <w:highlight w:val="none"/>
        </w:rPr>
        <w:t>0</w:t>
      </w:r>
      <w:r>
        <w:rPr>
          <w:rFonts w:hint="eastAsia" w:ascii="宋体" w:hAnsi="宋体" w:cs="宋体"/>
          <w:color w:val="auto"/>
          <w:kern w:val="0"/>
          <w:sz w:val="26"/>
          <w:szCs w:val="26"/>
          <w:highlight w:val="none"/>
        </w:rPr>
        <w:t>%的违约金，且甲方有权解除合同。若甲方因此承担责任的，甲方有权向乙方进行追偿，追偿范围包括但不限于诉讼费、律师费、税费、保费、赔偿款、医疗费等。</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（三）一方偿付的违约金不足以弥补另一方损失的，还应按另一方损失尚未弥补的部分，支付赔偿金给另一方。</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rPr>
      </w:pPr>
      <w:r>
        <w:rPr>
          <w:rFonts w:hint="eastAsia" w:ascii="宋体" w:hAnsi="宋体" w:cs="宋体"/>
          <w:color w:val="auto"/>
          <w:kern w:val="0"/>
          <w:sz w:val="26"/>
          <w:szCs w:val="26"/>
          <w:highlight w:val="none"/>
        </w:rPr>
        <w:t>（四）乙方</w:t>
      </w:r>
      <w:r>
        <w:rPr>
          <w:rFonts w:hint="eastAsia" w:ascii="宋体" w:hAnsi="宋体" w:cs="宋体"/>
          <w:color w:val="auto"/>
          <w:kern w:val="0"/>
          <w:sz w:val="26"/>
          <w:szCs w:val="26"/>
          <w:highlight w:val="none"/>
          <w:lang w:eastAsia="zh-Hans"/>
        </w:rPr>
        <w:t>应支付的违约金等费用</w:t>
      </w:r>
      <w:r>
        <w:rPr>
          <w:rFonts w:ascii="宋体" w:hAnsi="宋体" w:cs="宋体"/>
          <w:color w:val="auto"/>
          <w:kern w:val="0"/>
          <w:sz w:val="26"/>
          <w:szCs w:val="26"/>
          <w:highlight w:val="none"/>
          <w:lang w:eastAsia="zh-Hans"/>
        </w:rPr>
        <w:t>，</w:t>
      </w:r>
      <w:r>
        <w:rPr>
          <w:rFonts w:hint="eastAsia" w:ascii="宋体" w:hAnsi="宋体" w:cs="宋体"/>
          <w:color w:val="auto"/>
          <w:kern w:val="0"/>
          <w:sz w:val="26"/>
          <w:szCs w:val="26"/>
          <w:highlight w:val="none"/>
          <w:lang w:eastAsia="zh-Hans"/>
        </w:rPr>
        <w:t>甲方有权从未付款中予以扣除</w:t>
      </w:r>
      <w:r>
        <w:rPr>
          <w:rFonts w:ascii="宋体" w:hAnsi="宋体" w:cs="宋体"/>
          <w:color w:val="auto"/>
          <w:kern w:val="0"/>
          <w:sz w:val="26"/>
          <w:szCs w:val="26"/>
          <w:highlight w:val="none"/>
          <w:lang w:eastAsia="zh-Hans"/>
        </w:rPr>
        <w:t>。</w:t>
      </w:r>
    </w:p>
    <w:p>
      <w:pPr>
        <w:widowControl/>
        <w:adjustRightInd w:val="0"/>
        <w:snapToGrid w:val="0"/>
        <w:spacing w:line="460" w:lineRule="exact"/>
        <w:ind w:firstLine="520" w:firstLineChars="200"/>
        <w:jc w:val="left"/>
        <w:rPr>
          <w:rFonts w:hint="eastAsia" w:ascii="宋体" w:hAnsi="宋体" w:cs="宋体"/>
          <w:color w:val="auto"/>
          <w:kern w:val="0"/>
          <w:sz w:val="26"/>
          <w:szCs w:val="26"/>
          <w:highlight w:val="none"/>
          <w:lang w:val="zh-CN" w:eastAsia="zh-Hans"/>
        </w:rPr>
      </w:pPr>
      <w:r>
        <w:rPr>
          <w:rFonts w:hint="eastAsia" w:ascii="宋体" w:hAnsi="宋体" w:cs="宋体"/>
          <w:color w:val="auto"/>
          <w:kern w:val="0"/>
          <w:sz w:val="26"/>
          <w:szCs w:val="26"/>
          <w:highlight w:val="none"/>
          <w:lang w:val="zh-CN" w:eastAsia="zh-Hans"/>
        </w:rPr>
        <w:t>（</w:t>
      </w:r>
      <w:r>
        <w:rPr>
          <w:rFonts w:hint="eastAsia" w:ascii="宋体" w:hAnsi="宋体" w:cs="宋体"/>
          <w:color w:val="auto"/>
          <w:kern w:val="0"/>
          <w:sz w:val="26"/>
          <w:szCs w:val="26"/>
          <w:highlight w:val="none"/>
        </w:rPr>
        <w:t>五</w:t>
      </w:r>
      <w:r>
        <w:rPr>
          <w:rFonts w:hint="eastAsia" w:ascii="宋体" w:hAnsi="宋体" w:cs="宋体"/>
          <w:color w:val="auto"/>
          <w:kern w:val="0"/>
          <w:sz w:val="26"/>
          <w:szCs w:val="26"/>
          <w:highlight w:val="none"/>
          <w:lang w:val="zh-CN" w:eastAsia="zh-Hans"/>
        </w:rPr>
        <w:t>）若因</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eastAsia="zh-Hans"/>
        </w:rPr>
        <w:t>原因导致</w:t>
      </w:r>
      <w:r>
        <w:rPr>
          <w:rFonts w:hint="eastAsia" w:ascii="宋体" w:hAnsi="宋体" w:cs="宋体"/>
          <w:color w:val="auto"/>
          <w:kern w:val="0"/>
          <w:sz w:val="26"/>
          <w:szCs w:val="26"/>
          <w:highlight w:val="none"/>
        </w:rPr>
        <w:t>甲方</w:t>
      </w:r>
      <w:r>
        <w:rPr>
          <w:rFonts w:hint="eastAsia" w:ascii="宋体" w:hAnsi="宋体" w:cs="宋体"/>
          <w:color w:val="auto"/>
          <w:kern w:val="0"/>
          <w:sz w:val="26"/>
          <w:szCs w:val="26"/>
          <w:highlight w:val="none"/>
          <w:lang w:val="zh-CN" w:eastAsia="zh-Hans"/>
        </w:rPr>
        <w:t>解除合同的，</w:t>
      </w:r>
      <w:r>
        <w:rPr>
          <w:rFonts w:hint="eastAsia" w:ascii="宋体" w:hAnsi="宋体" w:cs="宋体"/>
          <w:color w:val="auto"/>
          <w:kern w:val="0"/>
          <w:sz w:val="26"/>
          <w:szCs w:val="26"/>
          <w:highlight w:val="none"/>
        </w:rPr>
        <w:t>甲方</w:t>
      </w:r>
      <w:r>
        <w:rPr>
          <w:rFonts w:hint="eastAsia" w:ascii="宋体" w:hAnsi="宋体" w:cs="宋体"/>
          <w:color w:val="auto"/>
          <w:kern w:val="0"/>
          <w:sz w:val="26"/>
          <w:szCs w:val="26"/>
          <w:highlight w:val="none"/>
          <w:lang w:val="zh-CN" w:eastAsia="zh-Hans"/>
        </w:rPr>
        <w:t>已支付的款项</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eastAsia="zh-Hans"/>
        </w:rPr>
        <w:t>应全部退还并按同期LPR向</w:t>
      </w:r>
      <w:r>
        <w:rPr>
          <w:rFonts w:hint="eastAsia" w:ascii="宋体" w:hAnsi="宋体" w:cs="宋体"/>
          <w:color w:val="auto"/>
          <w:kern w:val="0"/>
          <w:sz w:val="26"/>
          <w:szCs w:val="26"/>
          <w:highlight w:val="none"/>
        </w:rPr>
        <w:t>甲方</w:t>
      </w:r>
      <w:r>
        <w:rPr>
          <w:rFonts w:hint="eastAsia" w:ascii="宋体" w:hAnsi="宋体" w:cs="宋体"/>
          <w:color w:val="auto"/>
          <w:kern w:val="0"/>
          <w:sz w:val="26"/>
          <w:szCs w:val="26"/>
          <w:highlight w:val="none"/>
          <w:lang w:val="zh-CN" w:eastAsia="zh-Hans"/>
        </w:rPr>
        <w:t>支付利息（自</w:t>
      </w:r>
      <w:r>
        <w:rPr>
          <w:rFonts w:hint="eastAsia" w:ascii="宋体" w:hAnsi="宋体" w:cs="宋体"/>
          <w:color w:val="auto"/>
          <w:kern w:val="0"/>
          <w:sz w:val="26"/>
          <w:szCs w:val="26"/>
          <w:highlight w:val="none"/>
        </w:rPr>
        <w:t>乙方</w:t>
      </w:r>
      <w:r>
        <w:rPr>
          <w:rFonts w:hint="eastAsia" w:ascii="宋体" w:hAnsi="宋体" w:cs="宋体"/>
          <w:color w:val="auto"/>
          <w:kern w:val="0"/>
          <w:sz w:val="26"/>
          <w:szCs w:val="26"/>
          <w:highlight w:val="none"/>
          <w:lang w:val="zh-CN" w:eastAsia="zh-Hans"/>
        </w:rPr>
        <w:t>收款之日起算），未付款项，</w:t>
      </w:r>
      <w:r>
        <w:rPr>
          <w:rFonts w:hint="eastAsia" w:ascii="宋体" w:hAnsi="宋体" w:cs="宋体"/>
          <w:color w:val="auto"/>
          <w:kern w:val="0"/>
          <w:sz w:val="26"/>
          <w:szCs w:val="26"/>
          <w:highlight w:val="none"/>
        </w:rPr>
        <w:t>甲方</w:t>
      </w:r>
      <w:r>
        <w:rPr>
          <w:rFonts w:hint="eastAsia" w:ascii="宋体" w:hAnsi="宋体" w:cs="宋体"/>
          <w:color w:val="auto"/>
          <w:kern w:val="0"/>
          <w:sz w:val="26"/>
          <w:szCs w:val="26"/>
          <w:highlight w:val="none"/>
          <w:lang w:val="zh-CN" w:eastAsia="zh-Hans"/>
        </w:rPr>
        <w:t>有权不予支付。</w:t>
      </w:r>
    </w:p>
    <w:p>
      <w:pPr>
        <w:pStyle w:val="2"/>
        <w:rPr>
          <w:color w:val="auto"/>
          <w:highlight w:val="none"/>
        </w:rPr>
      </w:pPr>
    </w:p>
    <w:p>
      <w:pPr>
        <w:pStyle w:val="2"/>
        <w:spacing w:after="0" w:line="460" w:lineRule="exact"/>
        <w:ind w:firstLine="522" w:firstLineChars="200"/>
        <w:rPr>
          <w:rFonts w:hint="eastAsia" w:ascii="宋体" w:hAnsi="宋体" w:cs="宋体"/>
          <w:b/>
          <w:bCs/>
          <w:color w:val="auto"/>
          <w:kern w:val="0"/>
          <w:sz w:val="26"/>
          <w:szCs w:val="26"/>
          <w:highlight w:val="none"/>
        </w:rPr>
      </w:pPr>
      <w:r>
        <w:rPr>
          <w:rFonts w:hint="eastAsia" w:ascii="宋体" w:hAnsi="宋体" w:cs="宋体"/>
          <w:b/>
          <w:bCs/>
          <w:color w:val="auto"/>
          <w:kern w:val="0"/>
          <w:sz w:val="26"/>
          <w:szCs w:val="26"/>
          <w:highlight w:val="none"/>
        </w:rPr>
        <w:t>十二、解决争议的方式</w:t>
      </w:r>
    </w:p>
    <w:p>
      <w:pPr>
        <w:pStyle w:val="2"/>
        <w:spacing w:after="0" w:line="460" w:lineRule="exact"/>
        <w:ind w:firstLine="390" w:firstLineChars="150"/>
        <w:rPr>
          <w:rFonts w:hint="eastAsia" w:ascii="宋体" w:hAnsi="宋体" w:cs="宋体"/>
          <w:color w:val="auto"/>
          <w:sz w:val="26"/>
          <w:szCs w:val="26"/>
          <w:highlight w:val="none"/>
        </w:rPr>
      </w:pPr>
      <w:r>
        <w:rPr>
          <w:rFonts w:hint="eastAsia" w:ascii="宋体" w:hAnsi="宋体" w:cs="宋体"/>
          <w:color w:val="auto"/>
          <w:sz w:val="26"/>
          <w:szCs w:val="26"/>
          <w:highlight w:val="none"/>
        </w:rPr>
        <w:t>（一）因货物的质量问题发生争议的，应当邀请国家认可的质量检测机构对货物质量进行鉴定。货物符合标准的，鉴定费由甲方承担；货物不符合质量标准的，鉴定费由乙方承担。</w:t>
      </w:r>
    </w:p>
    <w:p>
      <w:pPr>
        <w:pStyle w:val="2"/>
        <w:spacing w:after="0" w:line="460" w:lineRule="exact"/>
        <w:ind w:firstLine="390" w:firstLineChars="150"/>
        <w:rPr>
          <w:rFonts w:hint="eastAsia" w:ascii="宋体" w:hAnsi="宋体" w:cs="宋体"/>
          <w:color w:val="auto"/>
          <w:sz w:val="26"/>
          <w:szCs w:val="26"/>
          <w:highlight w:val="none"/>
        </w:rPr>
      </w:pPr>
      <w:r>
        <w:rPr>
          <w:rFonts w:hint="eastAsia" w:ascii="宋体" w:hAnsi="宋体" w:cs="宋体"/>
          <w:color w:val="auto"/>
          <w:sz w:val="26"/>
          <w:szCs w:val="26"/>
          <w:highlight w:val="none"/>
        </w:rPr>
        <w:t>（二）在解释或者执行本合同的过程中发生争议时，双方应通过协商方式解决。</w:t>
      </w:r>
    </w:p>
    <w:p>
      <w:pPr>
        <w:pStyle w:val="2"/>
        <w:spacing w:after="0" w:line="460" w:lineRule="exact"/>
        <w:ind w:firstLine="390" w:firstLineChars="150"/>
        <w:rPr>
          <w:rFonts w:hint="eastAsia" w:ascii="宋体" w:hAnsi="宋体" w:cs="宋体"/>
          <w:color w:val="auto"/>
          <w:sz w:val="26"/>
          <w:szCs w:val="26"/>
          <w:highlight w:val="none"/>
        </w:rPr>
      </w:pPr>
      <w:r>
        <w:rPr>
          <w:rFonts w:hint="eastAsia" w:ascii="宋体" w:hAnsi="宋体" w:cs="宋体"/>
          <w:color w:val="auto"/>
          <w:sz w:val="26"/>
          <w:szCs w:val="26"/>
          <w:highlight w:val="none"/>
        </w:rPr>
        <w:t>（三）经协商不能解决的争议，双方可向甲方所在地有管辖权的法院提起诉讼；</w:t>
      </w:r>
    </w:p>
    <w:p>
      <w:pPr>
        <w:pStyle w:val="14"/>
        <w:spacing w:line="460" w:lineRule="exact"/>
        <w:ind w:firstLine="390" w:firstLineChars="150"/>
        <w:rPr>
          <w:rFonts w:hint="eastAsia" w:ascii="宋体" w:hAnsi="宋体"/>
          <w:color w:val="auto"/>
          <w:sz w:val="26"/>
          <w:szCs w:val="26"/>
          <w:highlight w:val="none"/>
        </w:rPr>
      </w:pPr>
      <w:r>
        <w:rPr>
          <w:rFonts w:hint="eastAsia" w:ascii="宋体" w:hAnsi="宋体"/>
          <w:color w:val="auto"/>
          <w:sz w:val="26"/>
          <w:szCs w:val="26"/>
          <w:highlight w:val="none"/>
        </w:rPr>
        <w:t>（四）在法院审理期间，除有争议部分外，本合同其他部分可以履行的仍应按合同条款继续履行。</w:t>
      </w:r>
    </w:p>
    <w:p>
      <w:pPr>
        <w:spacing w:line="460" w:lineRule="exact"/>
        <w:ind w:firstLine="522" w:firstLineChars="200"/>
        <w:rPr>
          <w:rFonts w:hint="eastAsia" w:ascii="宋体" w:hAnsi="宋体" w:cs="宋体"/>
          <w:b/>
          <w:bCs/>
          <w:color w:val="auto"/>
          <w:sz w:val="26"/>
          <w:szCs w:val="26"/>
          <w:highlight w:val="none"/>
        </w:rPr>
      </w:pPr>
      <w:bookmarkStart w:id="6" w:name="_Toc217446115"/>
      <w:r>
        <w:rPr>
          <w:rFonts w:hint="eastAsia" w:ascii="宋体" w:hAnsi="宋体" w:cs="宋体"/>
          <w:b/>
          <w:bCs/>
          <w:color w:val="auto"/>
          <w:sz w:val="26"/>
          <w:szCs w:val="26"/>
          <w:highlight w:val="none"/>
        </w:rPr>
        <w:t>十三、其他</w:t>
      </w:r>
      <w:bookmarkEnd w:id="6"/>
    </w:p>
    <w:p>
      <w:pPr>
        <w:pStyle w:val="14"/>
        <w:spacing w:line="460" w:lineRule="exact"/>
        <w:ind w:firstLine="520"/>
        <w:rPr>
          <w:rFonts w:hint="eastAsia" w:ascii="宋体" w:hAnsi="宋体"/>
          <w:color w:val="auto"/>
          <w:sz w:val="26"/>
          <w:szCs w:val="26"/>
          <w:highlight w:val="none"/>
        </w:rPr>
      </w:pPr>
      <w:r>
        <w:rPr>
          <w:rFonts w:hint="eastAsia" w:ascii="宋体" w:hAnsi="宋体"/>
          <w:color w:val="auto"/>
          <w:sz w:val="26"/>
          <w:szCs w:val="26"/>
          <w:highlight w:val="none"/>
        </w:rPr>
        <w:t>1、如有未尽事宜，以招投标文件为准或双方依法订立补充合同。</w:t>
      </w:r>
    </w:p>
    <w:p>
      <w:pPr>
        <w:pStyle w:val="14"/>
        <w:spacing w:line="460" w:lineRule="exact"/>
        <w:ind w:firstLine="520"/>
        <w:rPr>
          <w:rFonts w:hint="eastAsia" w:ascii="宋体" w:hAnsi="宋体"/>
          <w:color w:val="auto"/>
          <w:sz w:val="26"/>
          <w:szCs w:val="26"/>
          <w:highlight w:val="none"/>
        </w:rPr>
      </w:pPr>
      <w:r>
        <w:rPr>
          <w:rFonts w:hint="eastAsia" w:ascii="宋体" w:hAnsi="宋体"/>
          <w:color w:val="auto"/>
          <w:sz w:val="26"/>
          <w:szCs w:val="26"/>
          <w:highlight w:val="none"/>
        </w:rPr>
        <w:t>2、本合同一式肆份，自双方签章之日起生效。甲方壹份，乙方、政府采购管理部门、采购代理机构各一份。</w:t>
      </w:r>
    </w:p>
    <w:p>
      <w:pPr>
        <w:pStyle w:val="14"/>
        <w:spacing w:line="460" w:lineRule="exact"/>
        <w:ind w:firstLine="520"/>
        <w:rPr>
          <w:rFonts w:hint="eastAsia" w:ascii="宋体" w:hAnsi="宋体"/>
          <w:color w:val="auto"/>
          <w:sz w:val="26"/>
          <w:szCs w:val="26"/>
          <w:highlight w:val="none"/>
        </w:rPr>
      </w:pPr>
      <w:r>
        <w:rPr>
          <w:rFonts w:hint="eastAsia" w:ascii="宋体" w:hAnsi="宋体"/>
          <w:color w:val="auto"/>
          <w:sz w:val="26"/>
          <w:szCs w:val="26"/>
          <w:highlight w:val="none"/>
        </w:rPr>
        <w:t>3、乙方需配合甲方设备统一管理，完成设备在系统入库的工作。</w:t>
      </w:r>
    </w:p>
    <w:p>
      <w:pPr>
        <w:pStyle w:val="14"/>
        <w:spacing w:line="360" w:lineRule="auto"/>
        <w:ind w:firstLine="480"/>
        <w:rPr>
          <w:rFonts w:hint="eastAsia" w:ascii="宋体" w:hAnsi="宋体"/>
          <w:color w:val="auto"/>
          <w:highlight w:val="none"/>
        </w:rPr>
      </w:pPr>
    </w:p>
    <w:bookmarkEnd w:id="5"/>
    <w:tbl>
      <w:tblPr>
        <w:tblStyle w:val="10"/>
        <w:tblW w:w="4999"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336"/>
        <w:gridCol w:w="41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4336" w:type="dxa"/>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甲方（盖章）：</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甲方代表（签字）：</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地址：</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电话：</w:t>
            </w:r>
          </w:p>
          <w:p>
            <w:pPr>
              <w:spacing w:line="400" w:lineRule="exact"/>
              <w:rPr>
                <w:rFonts w:ascii="宋体" w:hAnsi="宋体" w:cs="宋体"/>
                <w:color w:val="auto"/>
                <w:sz w:val="24"/>
                <w:szCs w:val="24"/>
                <w:highlight w:val="none"/>
              </w:rPr>
            </w:pPr>
          </w:p>
          <w:p>
            <w:pPr>
              <w:spacing w:line="400" w:lineRule="exact"/>
              <w:rPr>
                <w:rFonts w:ascii="宋体" w:hAnsi="宋体" w:cs="宋体"/>
                <w:color w:val="auto"/>
                <w:sz w:val="24"/>
                <w:szCs w:val="24"/>
                <w:highlight w:val="none"/>
              </w:rPr>
            </w:pP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日期：    年    月    日</w:t>
            </w:r>
          </w:p>
        </w:tc>
        <w:tc>
          <w:tcPr>
            <w:tcW w:w="4184" w:type="dxa"/>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 xml:space="preserve">乙方（盖章）：  </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乙方代表（签字）：</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电话：</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开户银行：</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开户账号：</w:t>
            </w:r>
          </w:p>
          <w:p>
            <w:pPr>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日期：    年    月    日</w:t>
            </w:r>
          </w:p>
        </w:tc>
      </w:tr>
    </w:tbl>
    <w:p>
      <w:pPr>
        <w:rPr>
          <w:color w:val="auto"/>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arigold">
    <w:altName w:val="Segoe Print"/>
    <w:panose1 w:val="00000000000000000000"/>
    <w:charset w:val="00"/>
    <w:family w:val="script"/>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153"/>
        <w:tab w:val="right" w:pos="8306"/>
        <w:tab w:val="clear" w:pos="4140"/>
        <w:tab w:val="clear" w:pos="8300"/>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6"/>
                      <w:tabs>
                        <w:tab w:val="center" w:pos="4153"/>
                        <w:tab w:val="right" w:pos="8306"/>
                        <w:tab w:val="clear" w:pos="4140"/>
                        <w:tab w:val="clear" w:pos="8300"/>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0"/>
      <w:numFmt w:val="chineseCounting"/>
      <w:suff w:val="nothing"/>
      <w:lvlText w:val="%1、"/>
      <w:lvlJc w:val="left"/>
      <w:rPr>
        <w:rFonts w:hint="eastAsia"/>
      </w:rPr>
    </w:lvl>
  </w:abstractNum>
  <w:abstractNum w:abstractNumId="1">
    <w:nsid w:val="00000002"/>
    <w:multiLevelType w:val="singleLevel"/>
    <w:tmpl w:val="00000002"/>
    <w:lvl w:ilvl="0" w:tentative="0">
      <w:start w:val="1"/>
      <w:numFmt w:val="chineseCounting"/>
      <w:suff w:val="nothing"/>
      <w:lvlText w:val="（%1）"/>
      <w:lvlJc w:val="left"/>
      <w:pPr>
        <w:ind w:left="0" w:firstLine="420"/>
      </w:pPr>
      <w:rPr>
        <w:rFonts w:hint="eastAsia"/>
      </w:rPr>
    </w:lvl>
  </w:abstractNum>
  <w:abstractNum w:abstractNumId="2">
    <w:nsid w:val="00000003"/>
    <w:multiLevelType w:val="singleLevel"/>
    <w:tmpl w:val="00000003"/>
    <w:lvl w:ilvl="0" w:tentative="0">
      <w:start w:val="9"/>
      <w:numFmt w:val="chineseCounting"/>
      <w:suff w:val="nothing"/>
      <w:lvlText w:val="%1、"/>
      <w:lvlJc w:val="left"/>
      <w:rPr>
        <w:rFonts w:hint="eastAsia"/>
      </w:rPr>
    </w:lvl>
  </w:abstractNum>
  <w:abstractNum w:abstractNumId="3">
    <w:nsid w:val="00000004"/>
    <w:multiLevelType w:val="singleLevel"/>
    <w:tmpl w:val="00000004"/>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hMDQ3NWNiN2NjYWM3ZjE2MzlhM2I0MmNhMDA5MjYifQ=="/>
  </w:docVars>
  <w:rsids>
    <w:rsidRoot w:val="00172A27"/>
    <w:rsid w:val="002E4CF3"/>
    <w:rsid w:val="00357B89"/>
    <w:rsid w:val="004A760F"/>
    <w:rsid w:val="00BE0F87"/>
    <w:rsid w:val="00CFE96B"/>
    <w:rsid w:val="00E526C3"/>
    <w:rsid w:val="00EF3202"/>
    <w:rsid w:val="00F80B8B"/>
    <w:rsid w:val="014E43CE"/>
    <w:rsid w:val="01551C3E"/>
    <w:rsid w:val="01A2C21D"/>
    <w:rsid w:val="020A3712"/>
    <w:rsid w:val="021F3470"/>
    <w:rsid w:val="024AF976"/>
    <w:rsid w:val="026F49E1"/>
    <w:rsid w:val="035C6585"/>
    <w:rsid w:val="042874B3"/>
    <w:rsid w:val="0458853A"/>
    <w:rsid w:val="0483E173"/>
    <w:rsid w:val="04A94AEA"/>
    <w:rsid w:val="04B559FD"/>
    <w:rsid w:val="056F66A1"/>
    <w:rsid w:val="069186E4"/>
    <w:rsid w:val="0819D230"/>
    <w:rsid w:val="08E40078"/>
    <w:rsid w:val="093A7267"/>
    <w:rsid w:val="0941FD71"/>
    <w:rsid w:val="09A51BC8"/>
    <w:rsid w:val="09C674FA"/>
    <w:rsid w:val="0B3DD4FF"/>
    <w:rsid w:val="0BAF128F"/>
    <w:rsid w:val="0BD500C7"/>
    <w:rsid w:val="0C3F26FD"/>
    <w:rsid w:val="0C4248BC"/>
    <w:rsid w:val="0CDB7B5D"/>
    <w:rsid w:val="0D7AF5A7"/>
    <w:rsid w:val="0E11050B"/>
    <w:rsid w:val="0E3167A6"/>
    <w:rsid w:val="0ECEB49F"/>
    <w:rsid w:val="0F068AB2"/>
    <w:rsid w:val="0FD24838"/>
    <w:rsid w:val="10C41A8C"/>
    <w:rsid w:val="11A46C98"/>
    <w:rsid w:val="12616350"/>
    <w:rsid w:val="127382D6"/>
    <w:rsid w:val="129D009D"/>
    <w:rsid w:val="130387C2"/>
    <w:rsid w:val="132F62D2"/>
    <w:rsid w:val="1354D938"/>
    <w:rsid w:val="140D27C1"/>
    <w:rsid w:val="140D3173"/>
    <w:rsid w:val="141FD922"/>
    <w:rsid w:val="147896EA"/>
    <w:rsid w:val="157004A4"/>
    <w:rsid w:val="15A9738A"/>
    <w:rsid w:val="15FD2D63"/>
    <w:rsid w:val="16226B11"/>
    <w:rsid w:val="17093895"/>
    <w:rsid w:val="1798447E"/>
    <w:rsid w:val="184E4B96"/>
    <w:rsid w:val="189755EB"/>
    <w:rsid w:val="1A02029D"/>
    <w:rsid w:val="1A499324"/>
    <w:rsid w:val="1CACDA4A"/>
    <w:rsid w:val="1D9C4564"/>
    <w:rsid w:val="1DC42806"/>
    <w:rsid w:val="1DF1CDF8"/>
    <w:rsid w:val="1F022AD7"/>
    <w:rsid w:val="1F191559"/>
    <w:rsid w:val="1F3F77D9"/>
    <w:rsid w:val="1FFA957A"/>
    <w:rsid w:val="21AA1C0B"/>
    <w:rsid w:val="222B1B03"/>
    <w:rsid w:val="223287AD"/>
    <w:rsid w:val="22BF3A8F"/>
    <w:rsid w:val="23957E9F"/>
    <w:rsid w:val="23E42C11"/>
    <w:rsid w:val="24354AF5"/>
    <w:rsid w:val="245C3DA2"/>
    <w:rsid w:val="24DC5B1D"/>
    <w:rsid w:val="24F83B94"/>
    <w:rsid w:val="266653A9"/>
    <w:rsid w:val="28194DB3"/>
    <w:rsid w:val="290031EC"/>
    <w:rsid w:val="293C1B2A"/>
    <w:rsid w:val="293E59BB"/>
    <w:rsid w:val="2973CEE5"/>
    <w:rsid w:val="298B3A0A"/>
    <w:rsid w:val="2A126788"/>
    <w:rsid w:val="2A1E2E13"/>
    <w:rsid w:val="2A5F0DF4"/>
    <w:rsid w:val="2AA2FC2C"/>
    <w:rsid w:val="2ACD0453"/>
    <w:rsid w:val="2B355981"/>
    <w:rsid w:val="2BD3A2F7"/>
    <w:rsid w:val="2C6C0326"/>
    <w:rsid w:val="2C874773"/>
    <w:rsid w:val="2D1BDD43"/>
    <w:rsid w:val="2D223A09"/>
    <w:rsid w:val="2F253330"/>
    <w:rsid w:val="2FB89FDC"/>
    <w:rsid w:val="304E939B"/>
    <w:rsid w:val="31566A90"/>
    <w:rsid w:val="31941292"/>
    <w:rsid w:val="3226ACEE"/>
    <w:rsid w:val="32B8A6F6"/>
    <w:rsid w:val="33000741"/>
    <w:rsid w:val="330CC012"/>
    <w:rsid w:val="341C1966"/>
    <w:rsid w:val="35BF57AD"/>
    <w:rsid w:val="35E0F926"/>
    <w:rsid w:val="35EA4209"/>
    <w:rsid w:val="36F1E8CF"/>
    <w:rsid w:val="37F570F0"/>
    <w:rsid w:val="38C81066"/>
    <w:rsid w:val="38FA85CC"/>
    <w:rsid w:val="39C6FEE3"/>
    <w:rsid w:val="3A317344"/>
    <w:rsid w:val="3A7768AC"/>
    <w:rsid w:val="3ADA07C1"/>
    <w:rsid w:val="3B022E3E"/>
    <w:rsid w:val="3B5E1BDF"/>
    <w:rsid w:val="3B827CC5"/>
    <w:rsid w:val="3BF910A8"/>
    <w:rsid w:val="3C859515"/>
    <w:rsid w:val="3C8879D5"/>
    <w:rsid w:val="3C8B0986"/>
    <w:rsid w:val="3CA5106E"/>
    <w:rsid w:val="3CC246BA"/>
    <w:rsid w:val="3E420BAF"/>
    <w:rsid w:val="3E447034"/>
    <w:rsid w:val="3F311948"/>
    <w:rsid w:val="3F661BCA"/>
    <w:rsid w:val="3F732F1F"/>
    <w:rsid w:val="3F87F654"/>
    <w:rsid w:val="40B11E85"/>
    <w:rsid w:val="41098682"/>
    <w:rsid w:val="411A424F"/>
    <w:rsid w:val="41774859"/>
    <w:rsid w:val="428B61A5"/>
    <w:rsid w:val="428FE99E"/>
    <w:rsid w:val="42A61D17"/>
    <w:rsid w:val="42C888A4"/>
    <w:rsid w:val="43262D72"/>
    <w:rsid w:val="435DDF25"/>
    <w:rsid w:val="43D04935"/>
    <w:rsid w:val="451A3671"/>
    <w:rsid w:val="458C002D"/>
    <w:rsid w:val="460D444B"/>
    <w:rsid w:val="4624EF91"/>
    <w:rsid w:val="4676D570"/>
    <w:rsid w:val="46E6686C"/>
    <w:rsid w:val="47452FC9"/>
    <w:rsid w:val="4759FB19"/>
    <w:rsid w:val="479751C0"/>
    <w:rsid w:val="4802C362"/>
    <w:rsid w:val="480BF28D"/>
    <w:rsid w:val="480F05D8"/>
    <w:rsid w:val="48DD765B"/>
    <w:rsid w:val="494A6E50"/>
    <w:rsid w:val="4972D012"/>
    <w:rsid w:val="497C201B"/>
    <w:rsid w:val="49F6E589"/>
    <w:rsid w:val="4A07E918"/>
    <w:rsid w:val="4A0FBD77"/>
    <w:rsid w:val="4A8F9E27"/>
    <w:rsid w:val="4B912BEC"/>
    <w:rsid w:val="4DE45848"/>
    <w:rsid w:val="4E8D5A93"/>
    <w:rsid w:val="4F1B712F"/>
    <w:rsid w:val="4F1C0B51"/>
    <w:rsid w:val="4FE816AD"/>
    <w:rsid w:val="50145D03"/>
    <w:rsid w:val="50324B0D"/>
    <w:rsid w:val="50A34B75"/>
    <w:rsid w:val="5215352B"/>
    <w:rsid w:val="52DB10B0"/>
    <w:rsid w:val="52E23432"/>
    <w:rsid w:val="52F1449D"/>
    <w:rsid w:val="53352C3B"/>
    <w:rsid w:val="53406DD4"/>
    <w:rsid w:val="53A2390A"/>
    <w:rsid w:val="55217D13"/>
    <w:rsid w:val="55644DB1"/>
    <w:rsid w:val="55738FDB"/>
    <w:rsid w:val="562022E1"/>
    <w:rsid w:val="56A1A158"/>
    <w:rsid w:val="570133BB"/>
    <w:rsid w:val="57EC52FD"/>
    <w:rsid w:val="588919BA"/>
    <w:rsid w:val="59352B9C"/>
    <w:rsid w:val="59A49208"/>
    <w:rsid w:val="59A51E5C"/>
    <w:rsid w:val="5ABA4B09"/>
    <w:rsid w:val="5B38BA40"/>
    <w:rsid w:val="5C7ADD23"/>
    <w:rsid w:val="5E4F3E0C"/>
    <w:rsid w:val="5EF99658"/>
    <w:rsid w:val="5FB707AE"/>
    <w:rsid w:val="614F1C49"/>
    <w:rsid w:val="6181A406"/>
    <w:rsid w:val="61822B47"/>
    <w:rsid w:val="62280248"/>
    <w:rsid w:val="624F63F9"/>
    <w:rsid w:val="632018E8"/>
    <w:rsid w:val="63803E29"/>
    <w:rsid w:val="63C299BE"/>
    <w:rsid w:val="641248AF"/>
    <w:rsid w:val="6443CFB6"/>
    <w:rsid w:val="649F55F9"/>
    <w:rsid w:val="65A54160"/>
    <w:rsid w:val="6641B4E3"/>
    <w:rsid w:val="67773D03"/>
    <w:rsid w:val="688212C2"/>
    <w:rsid w:val="68E2B935"/>
    <w:rsid w:val="69003164"/>
    <w:rsid w:val="6909B1EA"/>
    <w:rsid w:val="694A96EF"/>
    <w:rsid w:val="69F230DD"/>
    <w:rsid w:val="6A4BB179"/>
    <w:rsid w:val="6A981F35"/>
    <w:rsid w:val="6B7F1714"/>
    <w:rsid w:val="6D1EA320"/>
    <w:rsid w:val="6D6212D2"/>
    <w:rsid w:val="6DED471D"/>
    <w:rsid w:val="6FA50942"/>
    <w:rsid w:val="6FD27474"/>
    <w:rsid w:val="6FD61ACD"/>
    <w:rsid w:val="71424C66"/>
    <w:rsid w:val="71B904F8"/>
    <w:rsid w:val="72019008"/>
    <w:rsid w:val="726E0DC4"/>
    <w:rsid w:val="75684D82"/>
    <w:rsid w:val="7604911E"/>
    <w:rsid w:val="76CA6779"/>
    <w:rsid w:val="781E791A"/>
    <w:rsid w:val="79375B94"/>
    <w:rsid w:val="795D99BA"/>
    <w:rsid w:val="799761AE"/>
    <w:rsid w:val="79C75CD7"/>
    <w:rsid w:val="7AD65B35"/>
    <w:rsid w:val="7C106E98"/>
    <w:rsid w:val="7CD6A41D"/>
    <w:rsid w:val="7D264462"/>
    <w:rsid w:val="7D87EA28"/>
    <w:rsid w:val="7DFABC72"/>
    <w:rsid w:val="7E7D2307"/>
    <w:rsid w:val="7F0C33CF"/>
    <w:rsid w:val="80EB24DF"/>
    <w:rsid w:val="816B2F62"/>
    <w:rsid w:val="83B13CA0"/>
    <w:rsid w:val="842FC764"/>
    <w:rsid w:val="88AE0B4D"/>
    <w:rsid w:val="894509CA"/>
    <w:rsid w:val="898FD675"/>
    <w:rsid w:val="8992595B"/>
    <w:rsid w:val="8AA204D8"/>
    <w:rsid w:val="8BB5AE66"/>
    <w:rsid w:val="8C0FDA04"/>
    <w:rsid w:val="8C9B378C"/>
    <w:rsid w:val="8D39B01D"/>
    <w:rsid w:val="8D99250D"/>
    <w:rsid w:val="8E952388"/>
    <w:rsid w:val="8EF8DA4D"/>
    <w:rsid w:val="8F3062D8"/>
    <w:rsid w:val="8FCD8BF3"/>
    <w:rsid w:val="944CDD9B"/>
    <w:rsid w:val="9516BF68"/>
    <w:rsid w:val="95640849"/>
    <w:rsid w:val="97D2EC88"/>
    <w:rsid w:val="9A8FAAF2"/>
    <w:rsid w:val="9AE1BD7A"/>
    <w:rsid w:val="9C08F1C1"/>
    <w:rsid w:val="9C936A17"/>
    <w:rsid w:val="9D40DC80"/>
    <w:rsid w:val="9E3F3782"/>
    <w:rsid w:val="9E4581CB"/>
    <w:rsid w:val="9EFBACB5"/>
    <w:rsid w:val="9F98BE9E"/>
    <w:rsid w:val="A2262250"/>
    <w:rsid w:val="A250AD62"/>
    <w:rsid w:val="A468E091"/>
    <w:rsid w:val="A556A078"/>
    <w:rsid w:val="A56147F8"/>
    <w:rsid w:val="A5813DF9"/>
    <w:rsid w:val="A690CC09"/>
    <w:rsid w:val="A7477F5D"/>
    <w:rsid w:val="A8FC38E5"/>
    <w:rsid w:val="A961246D"/>
    <w:rsid w:val="AA75CE5B"/>
    <w:rsid w:val="AB494EFF"/>
    <w:rsid w:val="AC33B443"/>
    <w:rsid w:val="ACC94992"/>
    <w:rsid w:val="AD1624EA"/>
    <w:rsid w:val="AD62F1FF"/>
    <w:rsid w:val="AE406204"/>
    <w:rsid w:val="AF9410C8"/>
    <w:rsid w:val="B03EA6A2"/>
    <w:rsid w:val="B0B43DCA"/>
    <w:rsid w:val="B2DDFE07"/>
    <w:rsid w:val="B36D8D4E"/>
    <w:rsid w:val="B3954E18"/>
    <w:rsid w:val="B4BB2A7D"/>
    <w:rsid w:val="B7EC6555"/>
    <w:rsid w:val="B8F9222A"/>
    <w:rsid w:val="B8FA0108"/>
    <w:rsid w:val="B91B9BF2"/>
    <w:rsid w:val="B929C40E"/>
    <w:rsid w:val="B9440481"/>
    <w:rsid w:val="BA8592A0"/>
    <w:rsid w:val="BACBAC6C"/>
    <w:rsid w:val="BBB3FAC2"/>
    <w:rsid w:val="BC363B59"/>
    <w:rsid w:val="BC72D925"/>
    <w:rsid w:val="BD0DFBE2"/>
    <w:rsid w:val="BE9066DF"/>
    <w:rsid w:val="BF8FA345"/>
    <w:rsid w:val="C0886645"/>
    <w:rsid w:val="C16F38F2"/>
    <w:rsid w:val="C2FCE22C"/>
    <w:rsid w:val="C6D17464"/>
    <w:rsid w:val="C7523F95"/>
    <w:rsid w:val="C883C542"/>
    <w:rsid w:val="C8AFBC35"/>
    <w:rsid w:val="C952D7A6"/>
    <w:rsid w:val="C9BEEC15"/>
    <w:rsid w:val="CCCA92A1"/>
    <w:rsid w:val="CF970749"/>
    <w:rsid w:val="CFB19AFD"/>
    <w:rsid w:val="CFF15A3F"/>
    <w:rsid w:val="D060958D"/>
    <w:rsid w:val="D159216E"/>
    <w:rsid w:val="D173FDA9"/>
    <w:rsid w:val="D1EED4A2"/>
    <w:rsid w:val="D3AC1871"/>
    <w:rsid w:val="D43EE545"/>
    <w:rsid w:val="D4F34562"/>
    <w:rsid w:val="D5CB43B7"/>
    <w:rsid w:val="D60E2CBB"/>
    <w:rsid w:val="D7BB5ABC"/>
    <w:rsid w:val="D94B1CF9"/>
    <w:rsid w:val="DA971A03"/>
    <w:rsid w:val="DB03D7C4"/>
    <w:rsid w:val="DC8144BB"/>
    <w:rsid w:val="DC9DB2A5"/>
    <w:rsid w:val="DCA643DA"/>
    <w:rsid w:val="DCFD4A1F"/>
    <w:rsid w:val="DEC49B6D"/>
    <w:rsid w:val="DED89001"/>
    <w:rsid w:val="E2751C90"/>
    <w:rsid w:val="E65E1B21"/>
    <w:rsid w:val="E6B397DD"/>
    <w:rsid w:val="E74B7AB4"/>
    <w:rsid w:val="E85C7A5A"/>
    <w:rsid w:val="E8EA1715"/>
    <w:rsid w:val="EA8B6ED3"/>
    <w:rsid w:val="EAB767E1"/>
    <w:rsid w:val="EAEE2040"/>
    <w:rsid w:val="EC8B2DAB"/>
    <w:rsid w:val="ECB10EF4"/>
    <w:rsid w:val="ECFAFBCB"/>
    <w:rsid w:val="EED9C25E"/>
    <w:rsid w:val="EF50E68A"/>
    <w:rsid w:val="EF943754"/>
    <w:rsid w:val="EFA18264"/>
    <w:rsid w:val="F0CF6C58"/>
    <w:rsid w:val="F2ED34C7"/>
    <w:rsid w:val="F38AE931"/>
    <w:rsid w:val="F3C1286E"/>
    <w:rsid w:val="F4994DF4"/>
    <w:rsid w:val="F5B3F088"/>
    <w:rsid w:val="F66960C8"/>
    <w:rsid w:val="F871CA90"/>
    <w:rsid w:val="F8DA0363"/>
    <w:rsid w:val="F9077D31"/>
    <w:rsid w:val="FA3D152E"/>
    <w:rsid w:val="FB4ABD65"/>
    <w:rsid w:val="FC1944A8"/>
    <w:rsid w:val="FE40A28E"/>
    <w:rsid w:val="FF3ACF1D"/>
    <w:rsid w:val="FFCC8451"/>
    <w:rsid w:val="FFCDDD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kern w:val="2"/>
      <w:sz w:val="21"/>
      <w:szCs w:val="22"/>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cs="Times New Roman"/>
      <w:b/>
      <w:sz w:val="32"/>
    </w:rPr>
  </w:style>
  <w:style w:type="character" w:default="1" w:styleId="11">
    <w:name w:val="Default Paragraph Font"/>
    <w:uiPriority w:val="0"/>
    <w:rPr>
      <w:rFonts w:ascii="Times New Roman" w:hAnsi="Times New Roman" w:eastAsia="宋体" w:cs="Times New Roman"/>
    </w:rPr>
  </w:style>
  <w:style w:type="table" w:default="1" w:styleId="10">
    <w:name w:val="Normal Table"/>
    <w:uiPriority w:val="0"/>
    <w:rPr>
      <w:rFonts w:ascii="Times New Roman" w:hAnsi="Times New Roman" w:eastAsia="宋体" w:cs="Times New Roman"/>
    </w:rPr>
    <w:tblPr>
      <w:tblStyle w:val="10"/>
      <w:tblCellMar>
        <w:top w:w="0" w:type="dxa"/>
        <w:left w:w="108" w:type="dxa"/>
        <w:bottom w:w="0" w:type="dxa"/>
        <w:right w:w="108" w:type="dxa"/>
      </w:tblCellMar>
    </w:tblPr>
  </w:style>
  <w:style w:type="paragraph" w:styleId="2">
    <w:name w:val="Body Text"/>
    <w:basedOn w:val="1"/>
    <w:next w:val="1"/>
    <w:uiPriority w:val="0"/>
    <w:pPr>
      <w:widowControl w:val="0"/>
      <w:spacing w:before="0" w:after="120"/>
      <w:ind w:left="0" w:right="0"/>
      <w:jc w:val="both"/>
    </w:pPr>
    <w:rPr>
      <w:rFonts w:ascii="Calibri" w:hAnsi="Calibri" w:eastAsia="宋体" w:cs="Times New Roman"/>
      <w:kern w:val="2"/>
      <w:sz w:val="21"/>
      <w:szCs w:val="22"/>
      <w:lang w:val="en-US" w:eastAsia="zh-CN" w:bidi="ar-SA"/>
    </w:rPr>
  </w:style>
  <w:style w:type="paragraph" w:styleId="4">
    <w:name w:val="Normal Indent"/>
    <w:basedOn w:val="1"/>
    <w:uiPriority w:val="0"/>
    <w:pPr>
      <w:widowControl w:val="0"/>
      <w:spacing w:before="0" w:after="180" w:line="307" w:lineRule="auto"/>
      <w:ind w:left="0" w:right="0" w:firstLine="420"/>
      <w:jc w:val="both"/>
    </w:pPr>
    <w:rPr>
      <w:rFonts w:ascii="Calibri" w:hAnsi="Calibri" w:eastAsia="宋体" w:cs="Times New Roman"/>
      <w:kern w:val="2"/>
      <w:sz w:val="21"/>
      <w:szCs w:val="22"/>
      <w:lang w:val="en-US" w:eastAsia="zh-CN" w:bidi="ar-SA"/>
    </w:rPr>
  </w:style>
  <w:style w:type="paragraph" w:styleId="5">
    <w:name w:val="annotation text"/>
    <w:basedOn w:val="1"/>
    <w:uiPriority w:val="0"/>
    <w:pPr>
      <w:widowControl w:val="0"/>
      <w:spacing w:after="0"/>
      <w:jc w:val="left"/>
    </w:pPr>
    <w:rPr>
      <w:rFonts w:ascii="Calibri" w:hAnsi="Calibri" w:eastAsia="宋体" w:cs="Times New Roman"/>
      <w:kern w:val="2"/>
      <w:sz w:val="21"/>
      <w:szCs w:val="22"/>
      <w:lang w:val="en-US" w:eastAsia="zh-CN" w:bidi="ar-SA"/>
    </w:rPr>
  </w:style>
  <w:style w:type="paragraph" w:styleId="6">
    <w:name w:val="footer"/>
    <w:basedOn w:val="1"/>
    <w:uiPriority w:val="0"/>
    <w:pPr>
      <w:widowControl w:val="0"/>
      <w:tabs>
        <w:tab w:val="center" w:pos="4140"/>
        <w:tab w:val="right" w:pos="8300"/>
      </w:tabs>
      <w:snapToGrid w:val="0"/>
      <w:spacing w:after="0"/>
      <w:jc w:val="left"/>
    </w:pPr>
    <w:rPr>
      <w:rFonts w:ascii="Calibri" w:hAnsi="Calibri" w:eastAsia="宋体" w:cs="Times New Roman"/>
      <w:kern w:val="2"/>
      <w:sz w:val="18"/>
      <w:szCs w:val="22"/>
      <w:lang w:val="en-US" w:eastAsia="zh-CN" w:bidi="ar-SA"/>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8">
    <w:name w:val="Message Header"/>
    <w:basedOn w:val="1"/>
    <w:uiPriority w:val="0"/>
    <w:pPr>
      <w:widowControl w:val="0"/>
      <w:shd w:val="pct20" w:color="auto" w:fill="auto"/>
      <w:spacing w:before="0" w:after="0"/>
      <w:ind w:left="500" w:leftChars="500" w:right="0" w:hanging="1080" w:hangingChars="500"/>
      <w:jc w:val="both"/>
    </w:pPr>
    <w:rPr>
      <w:rFonts w:ascii="Arial" w:hAnsi="Arial" w:eastAsia="宋体" w:cs="Arial"/>
      <w:kern w:val="2"/>
      <w:sz w:val="24"/>
      <w:szCs w:val="24"/>
      <w:lang w:val="en-US" w:eastAsia="zh-CN" w:bidi="ar-SA"/>
    </w:rPr>
  </w:style>
  <w:style w:type="paragraph" w:styleId="9">
    <w:name w:val="Normal (Web)"/>
    <w:basedOn w:val="1"/>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12">
    <w:name w:val="Strong"/>
    <w:qFormat/>
    <w:uiPriority w:val="0"/>
    <w:rPr>
      <w:rFonts w:ascii="Times New Roman" w:hAnsi="Times New Roman" w:eastAsia="宋体" w:cs="Times New Roman"/>
      <w:b/>
    </w:rPr>
  </w:style>
  <w:style w:type="paragraph" w:customStyle="1" w:styleId="13">
    <w:name w:val="Bullet 2"/>
    <w:uiPriority w:val="0"/>
    <w:pPr>
      <w:tabs>
        <w:tab w:val="left" w:pos="360"/>
      </w:tabs>
      <w:spacing w:after="120"/>
      <w:ind w:left="360" w:hanging="360"/>
      <w:jc w:val="both"/>
    </w:pPr>
    <w:rPr>
      <w:color w:val="000000"/>
      <w:sz w:val="24"/>
      <w:lang w:val="en-US" w:eastAsia="en-US" w:bidi="ar-SA"/>
    </w:rPr>
  </w:style>
  <w:style w:type="paragraph" w:customStyle="1" w:styleId="14">
    <w:name w:val="样式 首行缩进:  2 字符"/>
    <w:basedOn w:val="1"/>
    <w:uiPriority w:val="0"/>
    <w:pPr>
      <w:spacing w:line="400" w:lineRule="exact"/>
      <w:ind w:firstLine="200" w:firstLineChars="200"/>
    </w:pPr>
    <w:rPr>
      <w:rFonts w:ascii="Times New Roman" w:hAnsi="Times New Roman" w:eastAsia="宋体" w:cs="宋体"/>
      <w:sz w:val="24"/>
      <w:szCs w:val="24"/>
    </w:rPr>
  </w:style>
  <w:style w:type="paragraph" w:customStyle="1" w:styleId="15">
    <w:name w:val="正文首行缩进两字符"/>
    <w:basedOn w:val="1"/>
    <w:uiPriority w:val="0"/>
    <w:pPr>
      <w:spacing w:line="360" w:lineRule="auto"/>
      <w:ind w:firstLine="200" w:firstLineChars="200"/>
    </w:pPr>
    <w:rPr>
      <w:rFonts w:ascii="宋体" w:hAnsi="Marigold" w:eastAsia="宋体" w:cs="Marigold"/>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3713</Words>
  <Characters>3777</Characters>
  <Lines>28</Lines>
  <Paragraphs>7</Paragraphs>
  <TotalTime>0</TotalTime>
  <ScaleCrop>false</ScaleCrop>
  <LinksUpToDate>false</LinksUpToDate>
  <CharactersWithSpaces>3859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2024-05-31T10:11:00Z</dcterms:created>
  <dc:creator>HP</dc:creator>
  <cp:lastModifiedBy>Stup</cp:lastModifiedBy>
  <cp:lastPrinted>2022-03-30T01:31:00Z</cp:lastPrinted>
  <dcterms:modified xsi:type="dcterms:W3CDTF">2024-06-04T12:41:13Z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1D56BA32CC534ED6B2E87AA423AF5094_13</vt:lpwstr>
  </property>
</Properties>
</file>