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版本号：240718001</w:t>
      </w:r>
    </w:p>
    <w:p>
      <w:pPr>
        <w:pStyle w:val="null3"/>
        <w:jc w:val="left"/>
        <w:outlineLvl w:val="0"/>
      </w:pPr>
      <w:r>
        <w:rPr>
          <w:b/>
          <w:sz w:val="48"/>
        </w:rPr>
        <w:t>招 标 文 件</w:t>
      </w:r>
    </w:p>
    <w:p>
      <w:pPr>
        <w:pStyle w:val="null3"/>
        <w:jc w:val="center"/>
        <w:outlineLvl w:val="0"/>
      </w:pPr>
      <w:r>
        <w:rPr>
          <w:b/>
          <w:sz w:val="48"/>
        </w:rPr>
        <w:t>（货物类）</w:t>
      </w:r>
    </w:p>
    <w:p>
      <w:pPr>
        <w:pStyle w:val="null3"/>
        <w:jc w:val="left"/>
        <w:outlineLvl w:val="2"/>
      </w:pPr>
      <w:r>
        <w:rPr>
          <w:b/>
          <w:sz w:val="28"/>
        </w:rPr>
        <w:t>采购项目名称：</w:t>
      </w:r>
      <w:r>
        <w:rPr>
          <w:b/>
          <w:sz w:val="28"/>
        </w:rPr>
        <w:t>2024年警用装备采购项目(二次)</w:t>
      </w:r>
    </w:p>
    <w:p>
      <w:pPr>
        <w:pStyle w:val="null3"/>
        <w:jc w:val="center"/>
        <w:outlineLvl w:val="2"/>
      </w:pPr>
      <w:r>
        <w:rPr>
          <w:b/>
          <w:sz w:val="28"/>
        </w:rPr>
        <w:t>采购项目编号：</w:t>
      </w:r>
      <w:r>
        <w:rPr>
          <w:b/>
          <w:sz w:val="28"/>
        </w:rPr>
        <w:t>N5101012024000944</w:t>
      </w:r>
    </w:p>
    <w:p>
      <w:pPr>
        <w:pStyle w:val="null3"/>
        <w:jc w:val="left"/>
        <w:outlineLvl w:val="2"/>
      </w:pPr>
      <w:r>
        <w:rPr>
          <w:b/>
          <w:sz w:val="28"/>
        </w:rPr>
        <w:t>成都市公安局</w:t>
      </w:r>
    </w:p>
    <w:p>
      <w:pPr>
        <w:pStyle w:val="null3"/>
        <w:jc w:val="center"/>
        <w:outlineLvl w:val="2"/>
      </w:pPr>
      <w:r>
        <w:rPr>
          <w:b/>
          <w:sz w:val="28"/>
        </w:rPr>
        <w:t>四川国际招标有限责任公司</w:t>
      </w:r>
      <w:r>
        <w:rPr>
          <w:b/>
          <w:sz w:val="28"/>
        </w:rPr>
        <w:t>共同编制</w:t>
      </w:r>
    </w:p>
    <w:p>
      <w:pPr>
        <w:pStyle w:val="null3"/>
        <w:jc w:val="center"/>
      </w:pPr>
      <w:r>
        <w:rPr/>
        <w:t>2024年07月18日</w:t>
      </w:r>
    </w:p>
    <w:p>
      <w:pPr>
        <w:pStyle w:val="null3"/>
      </w:pPr>
      <w:r>
        <w:rPr/>
        <w:t xml:space="preserve"> </w:t>
        <w:br/>
        <w:br w:type="page"/>
      </w:r>
    </w:p>
    <w:p>
      <w:pPr>
        <w:pStyle w:val="null3"/>
        <w:jc w:val="center"/>
        <w:outlineLvl w:val="1"/>
      </w:pPr>
      <w:r>
        <w:rPr>
          <w:b/>
          <w:sz w:val="36"/>
        </w:rPr>
        <w:t>第一章 投标邀请</w:t>
      </w:r>
    </w:p>
    <w:p>
      <w:pPr>
        <w:pStyle w:val="null3"/>
        <w:ind w:firstLine="480"/>
        <w:jc w:val="left"/>
      </w:pPr>
      <w:r>
        <w:rPr/>
        <w:t>四川国际招标有限责任公司</w:t>
      </w:r>
      <w:r>
        <w:rPr/>
        <w:t xml:space="preserve"> （以下简称“代理机构”）受 </w:t>
      </w:r>
      <w:r>
        <w:rPr/>
        <w:t>成都市公安局</w:t>
      </w:r>
      <w:r>
        <w:rPr/>
        <w:t xml:space="preserve"> 委托，拟对 </w:t>
      </w:r>
      <w:r>
        <w:rPr/>
        <w:t>2024年警用装备采购项目(二次)</w:t>
      </w:r>
      <w:r>
        <w:rPr/>
        <w:t xml:space="preserve"> 采用公开招标方式进行采购，兹邀请符合本次招标要求的供应商参加投标。本项目为四川省</w:t>
      </w:r>
      <w:r>
        <w:rPr/>
        <w:t>成都市市本级</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N5101012024000944</w:t>
      </w:r>
    </w:p>
    <w:p>
      <w:pPr>
        <w:pStyle w:val="null3"/>
        <w:jc w:val="left"/>
        <w:outlineLvl w:val="2"/>
      </w:pPr>
      <w:r>
        <w:rPr>
          <w:b/>
          <w:sz w:val="28"/>
        </w:rPr>
        <w:t>1.2.采购项目名称</w:t>
      </w:r>
      <w:r>
        <w:rPr>
          <w:b/>
          <w:sz w:val="28"/>
        </w:rPr>
        <w:t xml:space="preserve">： </w:t>
      </w:r>
      <w:r>
        <w:rPr>
          <w:b/>
          <w:sz w:val="28"/>
        </w:rPr>
        <w:t>2024年警用装备采购项目(二次)</w:t>
      </w:r>
    </w:p>
    <w:p>
      <w:pPr>
        <w:pStyle w:val="null3"/>
        <w:jc w:val="left"/>
        <w:outlineLvl w:val="2"/>
      </w:pPr>
      <w:r>
        <w:rPr>
          <w:b/>
          <w:sz w:val="28"/>
        </w:rPr>
        <w:t>1.3.招标项目简介</w:t>
      </w:r>
    </w:p>
    <w:p>
      <w:pPr>
        <w:pStyle w:val="null3"/>
        <w:ind w:firstLine="480"/>
        <w:jc w:val="left"/>
      </w:pPr>
      <w:r>
        <w:rPr/>
        <w:t>本项目共一个包，采购警用装备设备一批。</w:t>
      </w:r>
    </w:p>
    <w:p>
      <w:pPr>
        <w:pStyle w:val="null3"/>
        <w:jc w:val="left"/>
        <w:outlineLvl w:val="2"/>
      </w:pPr>
      <w:r>
        <w:rPr>
          <w:b/>
          <w:sz w:val="28"/>
        </w:rPr>
        <w:t>1.4.邀请供应商方式</w:t>
      </w:r>
    </w:p>
    <w:p>
      <w:pPr>
        <w:pStyle w:val="null3"/>
        <w:ind w:firstLine="480"/>
        <w:jc w:val="left"/>
      </w:pPr>
      <w:r>
        <w:rPr/>
        <w:t>本项目以招标公告的方式邀请供应商参加投标，招标公告在四川政府采购网（www.ccgp-sichuan.gov.cn）发布。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CA及签章服务电话：通过四川政府采购网-办事指南进行查询</w:t>
      </w:r>
    </w:p>
    <w:p>
      <w:pPr>
        <w:pStyle w:val="null3"/>
        <w:jc w:val="left"/>
        <w:outlineLvl w:val="2"/>
      </w:pPr>
      <w:r>
        <w:rPr>
          <w:b/>
          <w:sz w:val="28"/>
        </w:rPr>
        <w:t>1.7.招标文件获取时间、方式及地址</w:t>
      </w:r>
    </w:p>
    <w:p>
      <w:pPr>
        <w:pStyle w:val="null3"/>
        <w:ind w:firstLine="480"/>
        <w:jc w:val="left"/>
      </w:pPr>
      <w:r>
        <w:rPr/>
        <w:t xml:space="preserve">一、招标文件获取时间： </w:t>
      </w:r>
      <w:r>
        <w:rPr/>
        <w:t>详见采购公告</w:t>
      </w:r>
      <w:r>
        <w:rPr/>
        <w:t>。</w:t>
      </w:r>
    </w:p>
    <w:p>
      <w:pPr>
        <w:pStyle w:val="null3"/>
        <w:ind w:firstLine="480"/>
        <w:jc w:val="left"/>
      </w:pPr>
      <w:r>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t>注：获取的招标文件由正文和附件组成，正文部分包括pdf、word两种格式版本，如内容有不一致的，以pdf格式内容为准。</w:t>
      </w:r>
    </w:p>
    <w:p>
      <w:pPr>
        <w:pStyle w:val="null3"/>
        <w:jc w:val="left"/>
        <w:outlineLvl w:val="2"/>
      </w:pPr>
      <w:r>
        <w:rPr>
          <w:b/>
          <w:sz w:val="28"/>
        </w:rPr>
        <w:t>1.8.投标截止时间及开标时间、方式、地点</w:t>
      </w:r>
    </w:p>
    <w:p>
      <w:pPr>
        <w:pStyle w:val="null3"/>
        <w:ind w:firstLine="480"/>
        <w:jc w:val="left"/>
      </w:pPr>
      <w:r>
        <w:rPr/>
        <w:t xml:space="preserve">一、投标截止时间及开标时间： </w:t>
      </w:r>
      <w:r>
        <w:rPr/>
        <w:t>详见采购公告</w:t>
      </w:r>
      <w:r>
        <w:rPr/>
        <w:t>。</w:t>
      </w:r>
    </w:p>
    <w:p>
      <w:pPr>
        <w:pStyle w:val="null3"/>
        <w:ind w:firstLine="480"/>
        <w:jc w:val="left"/>
      </w:pPr>
      <w:r>
        <w:rPr/>
        <w:t>二、投标人应当在投标截止时间前，通过交易系统提交投标文件。成功提交的，投标人将收到已提交投标文件的回执单。</w:t>
      </w:r>
    </w:p>
    <w:p>
      <w:pPr>
        <w:pStyle w:val="null3"/>
        <w:ind w:firstLine="480"/>
        <w:jc w:val="left"/>
      </w:pPr>
      <w:r>
        <w:rPr/>
        <w:t>三、本项目采取网上开标，采购人或者代理机构通过交易系统“开标/开启大厅”组织在线开标。</w:t>
      </w:r>
    </w:p>
    <w:p>
      <w:pPr>
        <w:pStyle w:val="null3"/>
        <w:jc w:val="left"/>
        <w:outlineLvl w:val="2"/>
      </w:pPr>
      <w:r>
        <w:rPr>
          <w:b/>
          <w:sz w:val="28"/>
        </w:rPr>
        <w:t>1.9.供应商信用融资</w:t>
      </w:r>
    </w:p>
    <w:p>
      <w:pPr>
        <w:pStyle w:val="null3"/>
        <w:ind w:firstLine="480"/>
        <w:jc w:val="left"/>
      </w:pPr>
      <w:r>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b/>
          <w:sz w:val="28"/>
        </w:rPr>
        <w:t>1.10.联系方式</w:t>
      </w:r>
    </w:p>
    <w:p>
      <w:pPr>
        <w:pStyle w:val="null3"/>
        <w:jc w:val="left"/>
      </w:pPr>
      <w:r>
        <w:rPr>
          <w:b/>
        </w:rPr>
        <w:t>采购人</w:t>
      </w:r>
      <w:r>
        <w:rPr>
          <w:b/>
        </w:rPr>
        <w:t xml:space="preserve">： </w:t>
      </w:r>
      <w:r>
        <w:rPr>
          <w:b/>
        </w:rPr>
        <w:t>成都市公安局</w:t>
      </w:r>
    </w:p>
    <w:p>
      <w:pPr>
        <w:pStyle w:val="null3"/>
        <w:jc w:val="left"/>
      </w:pPr>
      <w:r>
        <w:rPr/>
        <w:t xml:space="preserve"> 地址： </w:t>
      </w:r>
      <w:r>
        <w:rPr/>
        <w:t>成都市青羊区文武路136号</w:t>
      </w:r>
    </w:p>
    <w:p>
      <w:pPr>
        <w:pStyle w:val="null3"/>
        <w:jc w:val="left"/>
      </w:pPr>
      <w:r>
        <w:rPr/>
        <w:t xml:space="preserve"> 邮编： </w:t>
      </w:r>
      <w:r>
        <w:rPr/>
        <w:t>610000</w:t>
      </w:r>
    </w:p>
    <w:p>
      <w:pPr>
        <w:pStyle w:val="null3"/>
        <w:jc w:val="left"/>
      </w:pPr>
      <w:r>
        <w:rPr/>
        <w:t xml:space="preserve"> 联系人： </w:t>
      </w:r>
      <w:r>
        <w:rPr/>
        <w:t>田老师</w:t>
      </w:r>
    </w:p>
    <w:p>
      <w:pPr>
        <w:pStyle w:val="null3"/>
        <w:jc w:val="left"/>
      </w:pPr>
      <w:r>
        <w:rPr/>
        <w:t xml:space="preserve"> 联系电话： </w:t>
      </w:r>
      <w:r>
        <w:rPr/>
        <w:t>86407909</w:t>
      </w:r>
    </w:p>
    <w:p>
      <w:pPr>
        <w:pStyle w:val="null3"/>
        <w:jc w:val="left"/>
      </w:pPr>
      <w:r>
        <w:rPr>
          <w:b/>
        </w:rPr>
        <w:t>代理机构</w:t>
      </w:r>
      <w:r>
        <w:rPr>
          <w:b/>
        </w:rPr>
        <w:t xml:space="preserve">： </w:t>
      </w:r>
      <w:r>
        <w:rPr>
          <w:b/>
        </w:rPr>
        <w:t>四川国际招标有限责任公司</w:t>
      </w:r>
    </w:p>
    <w:p>
      <w:pPr>
        <w:pStyle w:val="null3"/>
        <w:jc w:val="left"/>
      </w:pPr>
      <w:r>
        <w:rPr/>
        <w:t xml:space="preserve"> 地址： </w:t>
      </w:r>
      <w:r>
        <w:rPr/>
        <w:t>四川省成都市市本级中国（四川）自由贸易试验区成都市高新区天府四街66号2栋22层1号</w:t>
      </w:r>
    </w:p>
    <w:p>
      <w:pPr>
        <w:pStyle w:val="null3"/>
        <w:jc w:val="left"/>
      </w:pPr>
      <w:r>
        <w:rPr/>
        <w:t xml:space="preserve"> 邮编： </w:t>
      </w:r>
      <w:r>
        <w:rPr/>
        <w:t>610000</w:t>
      </w:r>
    </w:p>
    <w:p>
      <w:pPr>
        <w:pStyle w:val="null3"/>
        <w:jc w:val="left"/>
      </w:pPr>
      <w:r>
        <w:rPr/>
        <w:t xml:space="preserve"> 联系人： </w:t>
      </w:r>
      <w:r>
        <w:rPr/>
        <w:t>张女士</w:t>
      </w:r>
    </w:p>
    <w:p>
      <w:pPr>
        <w:pStyle w:val="null3"/>
        <w:jc w:val="left"/>
      </w:pPr>
      <w:r>
        <w:rPr/>
        <w:t xml:space="preserve"> 联系电话： </w:t>
      </w:r>
      <w:r>
        <w:rPr/>
        <w:t>13111881172</w:t>
      </w:r>
    </w:p>
    <w:p>
      <w:pPr>
        <w:pStyle w:val="null3"/>
      </w:pPr>
      <w:r>
        <w:rPr/>
        <w:t xml:space="preserve"> </w:t>
        <w:br/>
        <w:br w:type="page"/>
      </w:r>
    </w:p>
    <w:p>
      <w:pPr>
        <w:pStyle w:val="null3"/>
        <w:jc w:val="center"/>
        <w:outlineLvl w:val="1"/>
      </w:pPr>
      <w:r>
        <w:rPr>
          <w:b/>
          <w:sz w:val="36"/>
        </w:rPr>
        <w:t>第二章 投标人须知</w:t>
      </w:r>
    </w:p>
    <w:p>
      <w:pPr>
        <w:pStyle w:val="null3"/>
        <w:jc w:val="left"/>
        <w:outlineLvl w:val="2"/>
      </w:pPr>
      <w:r>
        <w:rPr>
          <w:b/>
          <w:sz w:val="28"/>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采购包1：1,929,790.00元</w:t>
            </w:r>
          </w:p>
          <w:p>
            <w:pPr>
              <w:pStyle w:val="null3"/>
              <w:jc w:val="left"/>
            </w:pPr>
            <w:r>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t>2.</w:t>
            </w:r>
          </w:p>
        </w:tc>
        <w:tc>
          <w:tcPr>
            <w:tcW w:type="dxa" w:w="2252"/>
          </w:tcPr>
          <w:p>
            <w:pPr>
              <w:pStyle w:val="null3"/>
              <w:jc w:val="left"/>
            </w:pPr>
            <w:r>
              <w:rPr/>
              <w:t>评标方法</w:t>
            </w:r>
          </w:p>
        </w:tc>
        <w:tc>
          <w:tcPr>
            <w:tcW w:type="dxa" w:w="5004"/>
          </w:tcPr>
          <w:p>
            <w:pPr>
              <w:pStyle w:val="null3"/>
              <w:jc w:val="left"/>
            </w:pPr>
            <w:r>
              <w:rPr/>
              <w:t>采购包1：综合评分法</w:t>
            </w:r>
            <w:r>
              <w:rPr/>
              <w:t xml:space="preserve"> （具体规则详见第五章）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 xml:space="preserve"> 如接受联合体，需符合以下要求：</w:t>
            </w:r>
          </w:p>
          <w:p>
            <w:pPr>
              <w:pStyle w:val="null3"/>
              <w:jc w:val="left"/>
            </w:pPr>
            <w:r>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 xml:space="preserve"> 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投标有效期★</w:t>
            </w:r>
          </w:p>
        </w:tc>
        <w:tc>
          <w:tcPr>
            <w:tcW w:type="dxa" w:w="5004"/>
          </w:tcPr>
          <w:p>
            <w:pPr>
              <w:pStyle w:val="null3"/>
              <w:jc w:val="left"/>
            </w:pPr>
            <w:r>
              <w:rPr/>
              <w:t xml:space="preserve">提交投标文件的截止之日起不少于 </w:t>
            </w:r>
            <w:r>
              <w:rPr/>
              <w:t>90</w:t>
            </w:r>
            <w:r>
              <w:rPr/>
              <w:t xml:space="preserve"> 天。投标文件未明确投标有效期或者少于前述规定天数的，其投标文件按无效处理。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依照成本加合理利润的原则，以中标金额作为计算基数，按差额定率累进法进行计算后扣除项目评审费用后收取，费率标准为（货物采购项目）：中标金额100万元以下，费率1.5%；中标金额100-500万元，费率1.1%；中标金额500-1000万元，费率0.8%；中标金额1000-5000万元，费率0.5%；中标金额5000-10000万元，费率0.25%；中标金额10000-100000万元，费率0.05%；中标金额100000万元以上，费率0.01%。即代理服务费=差额累进计算结果－项目评审费用 （2）收款单位：四川国际招标有限责任公司 （3）开户行：中国民生银行股份有限公司成都分行营业部 （4）银行账号：9902001800880617 （5）采购合同签订前向代理机构交纳招标代理服务费。 （6）招标代理服务费交纳完成后，可按照以下温馨提示开具发票：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jc w:val="left"/>
            </w:pPr>
            <w:r>
              <w:rPr/>
              <w:t>8.</w:t>
            </w:r>
          </w:p>
        </w:tc>
        <w:tc>
          <w:tcPr>
            <w:tcW w:type="dxa" w:w="2252"/>
          </w:tcPr>
          <w:p>
            <w:pPr>
              <w:pStyle w:val="null3"/>
              <w:jc w:val="left"/>
            </w:pPr>
            <w:r>
              <w:rPr/>
              <w:t>中标结果公告</w:t>
            </w:r>
          </w:p>
        </w:tc>
        <w:tc>
          <w:tcPr>
            <w:tcW w:type="dxa" w:w="5004"/>
          </w:tcPr>
          <w:p>
            <w:pPr>
              <w:pStyle w:val="null3"/>
              <w:jc w:val="left"/>
            </w:pPr>
            <w:r>
              <w:rPr/>
              <w:t>中标结果将在四川政府采购网予以公告。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是否召开开标前答疑会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本招标文件中“★”要求为实质性要求。投标人应当按照第五章评审程序中的符合性审查规定，在投标文件中进行实质性响应，否则作无效投标处理。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本招标文件所称的“以上”、“以下”、“内”、“以内”、“不少于”包括本数；所称的“不足”、“低于”、“超过”不包括本数。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一、本招标文件仅适用于本次公开招标采购项目。</w:t>
      </w:r>
    </w:p>
    <w:p>
      <w:pPr>
        <w:pStyle w:val="null3"/>
        <w:ind w:firstLine="480"/>
        <w:jc w:val="left"/>
      </w:pPr>
      <w:r>
        <w:rPr/>
        <w:t xml:space="preserve">二、本招标文件由 </w:t>
      </w:r>
      <w:r>
        <w:rPr/>
        <w:t>成都市公安局</w:t>
      </w:r>
      <w:r>
        <w:rPr/>
        <w:t xml:space="preserve"> 和 </w:t>
      </w:r>
      <w:r>
        <w:rPr/>
        <w:t>四川国际招标有限责任公司</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一、“采购人”是指依法进行政府采购的国家机关、事业单位、团体组织。本次招标的采购人是 </w:t>
      </w:r>
      <w:r>
        <w:rPr/>
        <w:t>成都市公安局</w:t>
      </w:r>
      <w:r>
        <w:rPr/>
        <w:t xml:space="preserve"> 。</w:t>
      </w:r>
    </w:p>
    <w:p>
      <w:pPr>
        <w:pStyle w:val="null3"/>
        <w:ind w:firstLine="480"/>
        <w:jc w:val="left"/>
      </w:pPr>
      <w:r>
        <w:rPr/>
        <w:t>二、“投标人”是指按照采购公告规定获取招标文件，参加投标竞争的法人、其他组织或者自然人。</w:t>
      </w:r>
    </w:p>
    <w:p>
      <w:pPr>
        <w:pStyle w:val="null3"/>
        <w:ind w:firstLine="480"/>
        <w:jc w:val="left"/>
      </w:pPr>
      <w:r>
        <w:rPr/>
        <w:t xml:space="preserve">三、“代理机构”是指集中采购机构和从事采购代理业务的社会中介机构。本项目的代理机构是 </w:t>
      </w:r>
      <w:r>
        <w:rPr/>
        <w:t>四川国际招标有限责任公司</w:t>
      </w:r>
      <w:r>
        <w:rPr/>
        <w:t xml:space="preserve"> 。</w:t>
      </w:r>
    </w:p>
    <w:p>
      <w:pPr>
        <w:pStyle w:val="null3"/>
        <w:ind w:firstLine="480"/>
        <w:jc w:val="left"/>
      </w:pPr>
      <w:r>
        <w:rPr/>
        <w:t>四、“网上开标”是指代理机构通过交易系统在线组织投标文件解密，投标人通过交易系统在线解密投标文件等活动。</w:t>
      </w:r>
    </w:p>
    <w:p>
      <w:pPr>
        <w:pStyle w:val="null3"/>
        <w:ind w:firstLine="480"/>
        <w:jc w:val="left"/>
      </w:pPr>
      <w:r>
        <w:rPr/>
        <w:t>五、“电子评标”是指评标委员会开展资格审查、符合性审查、比较与评价、推荐中标候选人、出具评标报告等活动。</w:t>
      </w:r>
    </w:p>
    <w:p>
      <w:pPr>
        <w:pStyle w:val="null3"/>
        <w:jc w:val="left"/>
        <w:outlineLvl w:val="2"/>
      </w:pPr>
      <w:r>
        <w:rPr>
          <w:b/>
          <w:sz w:val="28"/>
        </w:rPr>
        <w:t>2.3.招标文件</w:t>
      </w:r>
    </w:p>
    <w:p>
      <w:pPr>
        <w:pStyle w:val="null3"/>
        <w:jc w:val="left"/>
        <w:outlineLvl w:val="3"/>
      </w:pPr>
      <w:r>
        <w:rPr>
          <w:b/>
          <w:sz w:val="24"/>
        </w:rPr>
        <w:t>2.3.1.招标文件的构成</w:t>
      </w:r>
    </w:p>
    <w:p>
      <w:pPr>
        <w:pStyle w:val="null3"/>
        <w:ind w:firstLine="480"/>
        <w:jc w:val="left"/>
      </w:pPr>
      <w:r>
        <w:rPr/>
        <w:t>招标文件由采购人、代理机构编制，是项目采购活动开展的基本依据，主要包括以下内容：</w:t>
      </w:r>
    </w:p>
    <w:p>
      <w:pPr>
        <w:pStyle w:val="null3"/>
        <w:ind w:firstLine="480"/>
        <w:jc w:val="left"/>
      </w:pPr>
      <w:r>
        <w:rPr/>
        <w:t>一、投标邀请；</w:t>
      </w:r>
    </w:p>
    <w:p>
      <w:pPr>
        <w:pStyle w:val="null3"/>
        <w:ind w:firstLine="480"/>
        <w:jc w:val="left"/>
      </w:pPr>
      <w:r>
        <w:rPr/>
        <w:t>二、投标人须知；</w:t>
      </w:r>
    </w:p>
    <w:p>
      <w:pPr>
        <w:pStyle w:val="null3"/>
        <w:ind w:firstLine="480"/>
        <w:jc w:val="left"/>
      </w:pPr>
      <w:r>
        <w:rPr/>
        <w:t>三、技术、服务及其他要求；</w:t>
      </w:r>
    </w:p>
    <w:p>
      <w:pPr>
        <w:pStyle w:val="null3"/>
        <w:ind w:firstLine="480"/>
        <w:jc w:val="left"/>
      </w:pPr>
      <w:r>
        <w:rPr/>
        <w:t>四、资格审查；</w:t>
      </w:r>
    </w:p>
    <w:p>
      <w:pPr>
        <w:pStyle w:val="null3"/>
        <w:ind w:firstLine="480"/>
        <w:jc w:val="left"/>
      </w:pPr>
      <w:r>
        <w:rPr/>
        <w:t>五、评标办法；</w:t>
      </w:r>
    </w:p>
    <w:p>
      <w:pPr>
        <w:pStyle w:val="null3"/>
        <w:ind w:firstLine="480"/>
        <w:jc w:val="left"/>
      </w:pPr>
      <w:r>
        <w:rPr/>
        <w:t>六、投标文件格式；</w:t>
      </w:r>
    </w:p>
    <w:p>
      <w:pPr>
        <w:pStyle w:val="null3"/>
        <w:ind w:firstLine="480"/>
        <w:jc w:val="left"/>
      </w:pPr>
      <w:r>
        <w:rPr/>
        <w:t>七、拟签订采购合同文本。</w:t>
      </w:r>
    </w:p>
    <w:p>
      <w:pPr>
        <w:pStyle w:val="null3"/>
        <w:jc w:val="left"/>
        <w:outlineLvl w:val="3"/>
      </w:pPr>
      <w:r>
        <w:rPr>
          <w:b/>
          <w:sz w:val="24"/>
        </w:rPr>
        <w:t>2.3.2.招标文件的澄清和修改</w:t>
      </w:r>
    </w:p>
    <w:p>
      <w:pPr>
        <w:pStyle w:val="null3"/>
        <w:ind w:firstLine="480"/>
        <w:jc w:val="left"/>
      </w:pPr>
      <w:r>
        <w:rPr/>
        <w:t>一、投标截止时间前，采购人或者代理机构可以对已发出的招标文件进行必要的澄清或者修改，但不得改变采购标的和资格条件。</w:t>
      </w:r>
    </w:p>
    <w:p>
      <w:pPr>
        <w:pStyle w:val="null3"/>
        <w:ind w:firstLine="480"/>
        <w:jc w:val="left"/>
      </w:pPr>
      <w:r>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供应商发送更正信息；不足15日的，采购人或者代理机构应当顺延提交投标文件的截止时间。</w:t>
      </w:r>
    </w:p>
    <w:p>
      <w:pPr>
        <w:pStyle w:val="null3"/>
        <w:ind w:firstLine="480"/>
        <w:jc w:val="left"/>
      </w:pPr>
      <w:r>
        <w:rPr/>
        <w:t>三、投标人根据更正公告、更正信息要求，重新获取招标文件，进行投标文件编制。</w:t>
      </w:r>
    </w:p>
    <w:p>
      <w:pPr>
        <w:pStyle w:val="null3"/>
        <w:jc w:val="left"/>
        <w:outlineLvl w:val="2"/>
      </w:pPr>
      <w:r>
        <w:rPr>
          <w:b/>
          <w:sz w:val="28"/>
        </w:rPr>
        <w:t>2.4.投标文件</w:t>
      </w:r>
    </w:p>
    <w:p>
      <w:pPr>
        <w:pStyle w:val="null3"/>
        <w:jc w:val="left"/>
        <w:outlineLvl w:val="3"/>
      </w:pPr>
      <w:r>
        <w:rPr>
          <w:b/>
          <w:sz w:val="24"/>
        </w:rPr>
        <w:t>2.4.1.投标文件的语言</w:t>
      </w:r>
    </w:p>
    <w:p>
      <w:pPr>
        <w:pStyle w:val="null3"/>
        <w:ind w:firstLine="480"/>
        <w:jc w:val="left"/>
      </w:pPr>
      <w:r>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t>（一）投标人的法定代表人为外籍人士的，法定代表人的签字和护照。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三、如因未翻译而造成对投标人的不利后果，由投标人承担。</w:t>
      </w:r>
    </w:p>
    <w:p>
      <w:pPr>
        <w:pStyle w:val="null3"/>
        <w:jc w:val="left"/>
        <w:outlineLvl w:val="3"/>
      </w:pPr>
      <w:r>
        <w:rPr>
          <w:b/>
          <w:sz w:val="24"/>
        </w:rPr>
        <w:t>2.4.2.计量单位★</w:t>
      </w:r>
    </w:p>
    <w:p>
      <w:pPr>
        <w:pStyle w:val="null3"/>
        <w:ind w:firstLine="480"/>
        <w:jc w:val="left"/>
      </w:pPr>
      <w:r>
        <w:rPr/>
        <w:t>除招标文件中另有规定外，本项目均采用国家法定的计量单位。</w:t>
      </w:r>
    </w:p>
    <w:p>
      <w:pPr>
        <w:pStyle w:val="null3"/>
        <w:jc w:val="left"/>
        <w:outlineLvl w:val="3"/>
      </w:pPr>
      <w:r>
        <w:rPr>
          <w:b/>
          <w:sz w:val="24"/>
        </w:rPr>
        <w:t>2.4.3.投标货币★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并且赔偿由此给采购人带来的损失。采购人享有本项目实施过程中产生的知识成果及知识产权。</w:t>
      </w:r>
    </w:p>
    <w:p>
      <w:pPr>
        <w:pStyle w:val="null3"/>
        <w:ind w:firstLine="480"/>
        <w:jc w:val="left"/>
      </w:pPr>
      <w:r>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t>三、如使用投标人所不拥有的知识产权，则在投标报价中必须包括合法使用该知识产权的相关费用。</w:t>
      </w:r>
    </w:p>
    <w:p>
      <w:pPr>
        <w:pStyle w:val="null3"/>
        <w:jc w:val="left"/>
        <w:outlineLvl w:val="3"/>
      </w:pPr>
      <w:r>
        <w:rPr>
          <w:b/>
          <w:sz w:val="24"/>
        </w:rPr>
        <w:t>2.4.5.投标报价★</w:t>
      </w:r>
    </w:p>
    <w:p>
      <w:pPr>
        <w:pStyle w:val="null3"/>
        <w:ind w:firstLine="480"/>
        <w:jc w:val="left"/>
      </w:pPr>
      <w:r>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该投标报价作为合同价，在合同履行中原则上不得变更。</w:t>
      </w:r>
    </w:p>
    <w:p>
      <w:pPr>
        <w:pStyle w:val="null3"/>
        <w:ind w:firstLine="480"/>
        <w:jc w:val="left"/>
      </w:pPr>
      <w:r>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签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b/>
          <w:sz w:val="24"/>
        </w:rPr>
        <w:t>2.4.6.投标文件的编制、签章和加密★</w:t>
      </w:r>
    </w:p>
    <w:p>
      <w:pPr>
        <w:pStyle w:val="null3"/>
        <w:ind w:firstLine="480"/>
        <w:jc w:val="left"/>
      </w:pPr>
      <w:r>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t>二、投标人通过四川政府采购网-下载专区下载投标（响应）客户端，使用投标（响应）客户端编制投标文件，完成投标文件编制、加盖电子印章和加密。</w:t>
      </w:r>
    </w:p>
    <w:p>
      <w:pPr>
        <w:pStyle w:val="null3"/>
        <w:jc w:val="left"/>
        <w:outlineLvl w:val="3"/>
      </w:pPr>
      <w:r>
        <w:rPr>
          <w:b/>
          <w:sz w:val="24"/>
        </w:rPr>
        <w:t>2.4.7.投标文件的提交★</w:t>
      </w:r>
    </w:p>
    <w:p>
      <w:pPr>
        <w:pStyle w:val="null3"/>
        <w:ind w:firstLine="480"/>
        <w:jc w:val="left"/>
      </w:pPr>
      <w:r>
        <w:rPr/>
        <w:t>一、投标截止时间前，投标人通过交易系统完成投标文件提交，成功提交投标文件的，将收到成功提交投标文件的回执单。成功提交投标文件的供应商信息在投标截止时间前，将加密保存。</w:t>
      </w:r>
    </w:p>
    <w:p>
      <w:pPr>
        <w:pStyle w:val="null3"/>
        <w:ind w:firstLine="480"/>
        <w:jc w:val="left"/>
      </w:pPr>
      <w:r>
        <w:rPr/>
        <w:t>未按招标文件和采购平台操作规范编制、确认、加密、盖章和提交的投标文件，将被拒绝接收。</w:t>
      </w:r>
    </w:p>
    <w:p>
      <w:pPr>
        <w:pStyle w:val="null3"/>
        <w:ind w:firstLine="480"/>
        <w:jc w:val="left"/>
      </w:pPr>
      <w:r>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t>三、除投标人外，其他任何单位和个人不得解密投标文件或者调整修改已提交投标文件的内容及提交状态。</w:t>
      </w:r>
    </w:p>
    <w:p>
      <w:pPr>
        <w:pStyle w:val="null3"/>
        <w:jc w:val="left"/>
        <w:outlineLvl w:val="3"/>
      </w:pPr>
      <w:r>
        <w:rPr>
          <w:b/>
          <w:sz w:val="24"/>
        </w:rPr>
        <w:t>2.4.8.投标文件的补充、修改、撤回★</w:t>
      </w:r>
    </w:p>
    <w:p>
      <w:pPr>
        <w:pStyle w:val="null3"/>
        <w:ind w:firstLine="480"/>
        <w:jc w:val="left"/>
      </w:pPr>
      <w:r>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t>投标人投标文件撤回后，视为未提交过投标文件。</w:t>
      </w:r>
    </w:p>
    <w:p>
      <w:pPr>
        <w:pStyle w:val="null3"/>
        <w:jc w:val="left"/>
        <w:outlineLvl w:val="2"/>
      </w:pPr>
      <w:r>
        <w:rPr>
          <w:b/>
          <w:sz w:val="28"/>
        </w:rPr>
        <w:t>2.5.开标、资格审查、评标和中标</w:t>
      </w:r>
    </w:p>
    <w:p>
      <w:pPr>
        <w:pStyle w:val="null3"/>
        <w:jc w:val="left"/>
        <w:outlineLvl w:val="3"/>
      </w:pPr>
      <w:r>
        <w:rPr>
          <w:b/>
          <w:sz w:val="24"/>
        </w:rPr>
        <w:t>2.5.1.开标</w:t>
      </w:r>
    </w:p>
    <w:p>
      <w:pPr>
        <w:pStyle w:val="null3"/>
        <w:jc w:val="left"/>
        <w:outlineLvl w:val="3"/>
      </w:pPr>
      <w:r>
        <w:rPr>
          <w:b/>
          <w:sz w:val="24"/>
        </w:rPr>
        <w:t>2.5.1.1.开标程序</w:t>
      </w:r>
    </w:p>
    <w:p>
      <w:pPr>
        <w:pStyle w:val="null3"/>
        <w:ind w:firstLine="480"/>
        <w:jc w:val="left"/>
      </w:pPr>
      <w:r>
        <w:rPr/>
        <w:t>投标截止时间后，通过交易系统“开标/开启大厅”网上开标，在线解密投标文件。</w:t>
      </w:r>
    </w:p>
    <w:p>
      <w:pPr>
        <w:pStyle w:val="null3"/>
        <w:jc w:val="left"/>
        <w:outlineLvl w:val="3"/>
      </w:pPr>
      <w:r>
        <w:rPr>
          <w:b/>
          <w:sz w:val="24"/>
        </w:rPr>
        <w:t>2.5.1.2.解密投标文件★</w:t>
      </w:r>
    </w:p>
    <w:p>
      <w:pPr>
        <w:pStyle w:val="null3"/>
        <w:ind w:firstLine="480"/>
        <w:jc w:val="left"/>
      </w:pPr>
      <w:r>
        <w:rPr/>
        <w:t xml:space="preserve">投标截止时间后，成功提交投标文件的投标人符合招标文件规定数量的，代理机构将启动投标文件解密程序，解密时间为 </w:t>
      </w:r>
      <w:r>
        <w:rPr/>
        <w:t>90</w:t>
      </w:r>
      <w:r>
        <w:rPr/>
        <w:t xml:space="preserve"> 分钟；投标人应在规定的解密时间内，使用加密投标文件的数字证书进行投标文件解密。除因采购平台系统故障导致投标人未按时完成解密外，投标人未在规定的解密时间内完成解密的，按无效投标处理。</w:t>
      </w:r>
    </w:p>
    <w:p>
      <w:pPr>
        <w:pStyle w:val="null3"/>
        <w:jc w:val="left"/>
        <w:outlineLvl w:val="3"/>
      </w:pPr>
      <w:r>
        <w:rPr>
          <w:b/>
          <w:sz w:val="24"/>
        </w:rPr>
        <w:t>2.5.1.3.有关要求</w:t>
      </w:r>
    </w:p>
    <w:p>
      <w:pPr>
        <w:pStyle w:val="null3"/>
        <w:ind w:firstLine="480"/>
        <w:jc w:val="left"/>
      </w:pPr>
      <w:r>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t>开标过程中，投标人对开标过程有疑义，可向代理机构提出询问，代理机构应当及时予以答复。</w:t>
      </w:r>
    </w:p>
    <w:p>
      <w:pPr>
        <w:pStyle w:val="null3"/>
        <w:ind w:firstLine="480"/>
        <w:jc w:val="left"/>
      </w:pPr>
      <w:r>
        <w:rPr/>
        <w:t>投标人完成投标文件解密后，自主决定是否参加在线开标，未参加的，视同认可开标结果。</w:t>
      </w:r>
    </w:p>
    <w:p>
      <w:pPr>
        <w:pStyle w:val="null3"/>
        <w:ind w:firstLine="480"/>
        <w:jc w:val="left"/>
      </w:pPr>
      <w:r>
        <w:rPr/>
        <w:t>成功提交或者成功解密电子投标文件的投标人不足3家的，采购人或者代理机构将作废标处理。</w:t>
      </w:r>
    </w:p>
    <w:p>
      <w:pPr>
        <w:pStyle w:val="null3"/>
        <w:jc w:val="left"/>
        <w:outlineLvl w:val="3"/>
      </w:pPr>
      <w:r>
        <w:rPr>
          <w:b/>
          <w:sz w:val="24"/>
        </w:rPr>
        <w:t>2.5.2.查询及使用信用记录</w:t>
      </w:r>
    </w:p>
    <w:p>
      <w:pPr>
        <w:pStyle w:val="null3"/>
        <w:ind w:firstLine="480"/>
        <w:jc w:val="left"/>
      </w:pPr>
      <w:r>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中的投标人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2.5.3.资格审查</w:t>
      </w:r>
    </w:p>
    <w:p>
      <w:pPr>
        <w:pStyle w:val="null3"/>
        <w:ind w:firstLine="480"/>
        <w:jc w:val="left"/>
      </w:pPr>
      <w:r>
        <w:rPr/>
        <w:t>详见招标文件第四章。</w:t>
      </w:r>
    </w:p>
    <w:p>
      <w:pPr>
        <w:pStyle w:val="null3"/>
        <w:jc w:val="left"/>
        <w:outlineLvl w:val="3"/>
      </w:pPr>
      <w:r>
        <w:rPr>
          <w:b/>
          <w:sz w:val="24"/>
        </w:rPr>
        <w:t>2.5.4.评标</w:t>
      </w:r>
    </w:p>
    <w:p>
      <w:pPr>
        <w:pStyle w:val="null3"/>
        <w:ind w:firstLine="480"/>
        <w:jc w:val="left"/>
      </w:pPr>
      <w:r>
        <w:rPr/>
        <w:t>详见招标文件第五章。</w:t>
      </w:r>
    </w:p>
    <w:p>
      <w:pPr>
        <w:pStyle w:val="null3"/>
        <w:jc w:val="left"/>
        <w:outlineLvl w:val="3"/>
      </w:pPr>
      <w:r>
        <w:rPr>
          <w:b/>
          <w:sz w:val="24"/>
        </w:rPr>
        <w:t>2.5.5.中标通知书</w:t>
      </w:r>
    </w:p>
    <w:p>
      <w:pPr>
        <w:pStyle w:val="null3"/>
        <w:ind w:firstLine="480"/>
        <w:jc w:val="left"/>
      </w:pPr>
      <w:r>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t>三、中标人完全遵守《中华人民共和国劳动合同法》有关规定和《中华人民共和国妇女权益保障法》中关于“劳动和社会保障权益”的有关要求。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一、严禁中标人将本项目合同转包。</w:t>
      </w:r>
    </w:p>
    <w:p>
      <w:pPr>
        <w:pStyle w:val="null3"/>
        <w:ind w:firstLine="480"/>
        <w:jc w:val="left"/>
      </w:pPr>
      <w:r>
        <w:rPr/>
        <w:t>二、中标人将合同转包的，将依法追究法律责任。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一、采购人与中标人应当根据合同的约定依法履行合同义务。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是</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 xml:space="preserve">供应商提出验收申请之日起15日内组织验收 </w:t>
      </w:r>
      <w:r>
        <w:rPr/>
        <w:t xml:space="preserve"> ，达到验收条件起 </w:t>
      </w:r>
      <w:r>
        <w:rPr/>
        <w:t>15</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按照本项目招标文件中“技术、服务要求”及中标人投标文件进行验收</w:t>
      </w:r>
    </w:p>
    <w:p>
      <w:pPr>
        <w:pStyle w:val="null3"/>
        <w:ind w:firstLine="480"/>
        <w:jc w:val="left"/>
      </w:pPr>
      <w:r>
        <w:rPr/>
        <w:t>十、商务履约验收内容：</w:t>
      </w:r>
    </w:p>
    <w:p>
      <w:pPr>
        <w:pStyle w:val="null3"/>
        <w:ind w:firstLine="480"/>
        <w:jc w:val="left"/>
      </w:pPr>
      <w:r>
        <w:rPr/>
        <w:t>采购包1：</w:t>
      </w:r>
      <w:r>
        <w:rPr/>
        <w:t>按照本项目招标文件中“商务要求”及中标人投标文件进行验收</w:t>
      </w:r>
    </w:p>
    <w:p>
      <w:pPr>
        <w:pStyle w:val="null3"/>
        <w:ind w:firstLine="480"/>
        <w:jc w:val="left"/>
      </w:pPr>
      <w:r>
        <w:rPr/>
        <w:t>十一、履约验收标准：</w:t>
      </w:r>
    </w:p>
    <w:p>
      <w:pPr>
        <w:pStyle w:val="null3"/>
        <w:ind w:firstLine="480"/>
        <w:jc w:val="left"/>
      </w:pPr>
      <w:r>
        <w:rPr/>
        <w:t>采购包1：</w:t>
      </w:r>
      <w:r>
        <w:rPr/>
        <w:t>由采购人组织，严格按照《财政部关于进一步加强政府采购需求和履约验收管理的指导意见》（财库〔2016〕205号）等政府采购相关法律法规的要求进行验收。</w:t>
      </w:r>
    </w:p>
    <w:p>
      <w:pPr>
        <w:pStyle w:val="null3"/>
        <w:ind w:firstLine="480"/>
        <w:jc w:val="left"/>
      </w:pPr>
      <w:r>
        <w:rPr/>
        <w:t>十二、履约验收其他事项：</w:t>
      </w:r>
    </w:p>
    <w:p>
      <w:pPr>
        <w:pStyle w:val="null3"/>
        <w:ind w:firstLine="480"/>
        <w:jc w:val="left"/>
      </w:pPr>
      <w:r>
        <w:rPr/>
        <w:t>采购包1：</w:t>
      </w:r>
      <w:r>
        <w:rPr/>
        <w:t>①供应商应将所提供货物的装箱清单、配件、随机工具、用户使用手册、原厂保修卡、等资料（如有）交付给采购人同时将相关检验、检测报告原件或复印件交给采购人查验；供应商不能完整交付货物及本款规定的单证和工具的，必须负责补齐，否则视为未按合同约定交货。如质量验收合格，双方签署质量验收书。 ②参数中要求在验收时提供检测报告的，以中标人实际响应的技术参数作为验收内容，验收时所提供的检测报告中须体现中标人实际响应的技术参数内容。 举例：以防弹头盔中侧向刚性为例，本招标文件中的▲参数“侧向刚性方面盔壳最大变形量≤6.0mm，残余变形量≤1.1mm”是优于GA 293-2012中的要求，如中标人投标时响应招标文件要求，验收时提供符合中标人实际响应内容的检测报告。</w:t>
      </w:r>
    </w:p>
    <w:p>
      <w:pPr>
        <w:pStyle w:val="null3"/>
        <w:jc w:val="left"/>
        <w:outlineLvl w:val="3"/>
      </w:pPr>
      <w:r>
        <w:rPr>
          <w:b/>
          <w:sz w:val="24"/>
        </w:rPr>
        <w:t>2.6.7.资金支付</w:t>
      </w:r>
    </w:p>
    <w:p>
      <w:pPr>
        <w:pStyle w:val="null3"/>
        <w:ind w:firstLine="480"/>
        <w:jc w:val="left"/>
      </w:pPr>
      <w:r>
        <w:rPr/>
        <w:t>采购人将按照政府采购合同规定，及时向中标人支付采购资金。具体支付约定详见第三章。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t>有关人员对评标情况以及在评标过程中获悉的国家秘密、商业秘密负有保密责任。</w:t>
      </w:r>
    </w:p>
    <w:p>
      <w:pPr>
        <w:pStyle w:val="null3"/>
        <w:jc w:val="left"/>
        <w:outlineLvl w:val="3"/>
      </w:pPr>
      <w:r>
        <w:rPr>
          <w:b/>
          <w:sz w:val="24"/>
        </w:rPr>
        <w:t>2.7.2.投标人不得具有的情形</w:t>
      </w:r>
    </w:p>
    <w:p>
      <w:pPr>
        <w:pStyle w:val="null3"/>
        <w:ind w:firstLine="480"/>
        <w:jc w:val="left"/>
      </w:pPr>
      <w:r>
        <w:rPr/>
        <w:t>投标人参加投标不得有下列情形：</w:t>
      </w:r>
    </w:p>
    <w:p>
      <w:pPr>
        <w:pStyle w:val="null3"/>
        <w:ind w:firstLine="480"/>
        <w:jc w:val="left"/>
      </w:pPr>
      <w:r>
        <w:rPr/>
        <w:t>一、有下列情形之一的，视为投标人串通投标：</w:t>
      </w:r>
    </w:p>
    <w:p>
      <w:pPr>
        <w:pStyle w:val="null3"/>
        <w:ind w:firstLine="480"/>
        <w:jc w:val="left"/>
      </w:pPr>
      <w:r>
        <w:rPr/>
        <w:t>（一）不同投标人的投标文件由同一单位或者个人编制；</w:t>
      </w:r>
    </w:p>
    <w:p>
      <w:pPr>
        <w:pStyle w:val="null3"/>
        <w:ind w:firstLine="480"/>
        <w:jc w:val="left"/>
      </w:pPr>
      <w:r>
        <w:rPr/>
        <w:t>（二）不同投标人委托同一单位或者个人办理投标事宜；</w:t>
      </w:r>
    </w:p>
    <w:p>
      <w:pPr>
        <w:pStyle w:val="null3"/>
        <w:ind w:firstLine="480"/>
        <w:jc w:val="left"/>
      </w:pPr>
      <w:r>
        <w:rPr/>
        <w:t>（三）不同投标人的投标文件载明的项目管理成员或者联系人员为同一人；</w:t>
      </w:r>
    </w:p>
    <w:p>
      <w:pPr>
        <w:pStyle w:val="null3"/>
        <w:ind w:firstLine="480"/>
        <w:jc w:val="left"/>
      </w:pPr>
      <w:r>
        <w:rPr/>
        <w:t>（四）不同投标人的投标文件异常一致或者投标报价呈规律性差异；</w:t>
      </w:r>
    </w:p>
    <w:p>
      <w:pPr>
        <w:pStyle w:val="null3"/>
        <w:ind w:firstLine="480"/>
        <w:jc w:val="left"/>
      </w:pPr>
      <w:r>
        <w:rPr/>
        <w:t>（五）不同投标人的投标文件相互混装；</w:t>
      </w:r>
    </w:p>
    <w:p>
      <w:pPr>
        <w:pStyle w:val="null3"/>
        <w:ind w:firstLine="480"/>
        <w:jc w:val="left"/>
      </w:pPr>
      <w:r>
        <w:rPr/>
        <w:t>（六）不同投标人的投标保证金从同一单位和账户转出。</w:t>
      </w:r>
    </w:p>
    <w:p>
      <w:pPr>
        <w:pStyle w:val="null3"/>
        <w:ind w:firstLine="480"/>
        <w:jc w:val="left"/>
      </w:pPr>
      <w:r>
        <w:rPr/>
        <w:t>二、提供虚假材料谋取中标；</w:t>
      </w:r>
    </w:p>
    <w:p>
      <w:pPr>
        <w:pStyle w:val="null3"/>
        <w:ind w:firstLine="480"/>
        <w:jc w:val="left"/>
      </w:pPr>
      <w:r>
        <w:rPr/>
        <w:t>三、采取不正当手段诋毁、排挤其他投标人；</w:t>
      </w:r>
    </w:p>
    <w:p>
      <w:pPr>
        <w:pStyle w:val="null3"/>
        <w:ind w:firstLine="480"/>
        <w:jc w:val="left"/>
      </w:pPr>
      <w:r>
        <w:rPr/>
        <w:t>四、与采购人或者代理机构、其他投标人恶意串通；</w:t>
      </w:r>
    </w:p>
    <w:p>
      <w:pPr>
        <w:pStyle w:val="null3"/>
        <w:ind w:firstLine="480"/>
        <w:jc w:val="left"/>
      </w:pPr>
      <w:r>
        <w:rPr/>
        <w:t>五、向采购人或者代理机构、评标委员会成员行贿或者提供其他不正当利益；</w:t>
      </w:r>
    </w:p>
    <w:p>
      <w:pPr>
        <w:pStyle w:val="null3"/>
        <w:ind w:firstLine="480"/>
        <w:jc w:val="left"/>
      </w:pPr>
      <w:r>
        <w:rPr/>
        <w:t>六、在招标过程中与采购人或者代理机构进行协商谈判；</w:t>
      </w:r>
    </w:p>
    <w:p>
      <w:pPr>
        <w:pStyle w:val="null3"/>
        <w:ind w:firstLine="480"/>
        <w:jc w:val="left"/>
      </w:pPr>
      <w:r>
        <w:rPr/>
        <w:t>七、中标后无正当理由拒不与采购人签订政府采购合同；</w:t>
      </w:r>
    </w:p>
    <w:p>
      <w:pPr>
        <w:pStyle w:val="null3"/>
        <w:ind w:firstLine="480"/>
        <w:jc w:val="left"/>
      </w:pPr>
      <w:r>
        <w:rPr/>
        <w:t>八、未按照招标文件确定的事项签订政府采购合同；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投标人有前述第一至六条情形的，认定其投标无效；中标人有前述第二至六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b/>
          <w:sz w:val="24"/>
        </w:rPr>
        <w:t>2.7.3.采购人员及相关人员回避要求</w:t>
      </w:r>
    </w:p>
    <w:p>
      <w:pPr>
        <w:pStyle w:val="null3"/>
        <w:ind w:firstLine="480"/>
        <w:jc w:val="left"/>
      </w:pPr>
      <w:r>
        <w:rPr/>
        <w:t>政府采购活动中，采购人员及相关人员与投标人有下列利害关系之一的，应当回避：</w:t>
      </w:r>
    </w:p>
    <w:p>
      <w:pPr>
        <w:pStyle w:val="null3"/>
        <w:ind w:firstLine="480"/>
        <w:jc w:val="left"/>
      </w:pPr>
      <w:r>
        <w:rPr/>
        <w:t>一、参加采购活动前3年内与投标人存在劳动关系；</w:t>
      </w:r>
    </w:p>
    <w:p>
      <w:pPr>
        <w:pStyle w:val="null3"/>
        <w:ind w:firstLine="480"/>
        <w:jc w:val="left"/>
      </w:pPr>
      <w:r>
        <w:rPr/>
        <w:t>二、参加采购活动前3年内担任投标人的董事、监事；</w:t>
      </w:r>
    </w:p>
    <w:p>
      <w:pPr>
        <w:pStyle w:val="null3"/>
        <w:ind w:firstLine="480"/>
        <w:jc w:val="left"/>
      </w:pPr>
      <w:r>
        <w:rPr/>
        <w:t>三、参加采购活动前3年内是投标人的控股股东或者实际控制人；</w:t>
      </w:r>
    </w:p>
    <w:p>
      <w:pPr>
        <w:pStyle w:val="null3"/>
        <w:ind w:firstLine="480"/>
        <w:jc w:val="left"/>
      </w:pPr>
      <w:r>
        <w:rPr/>
        <w:t>四、与投标人的法定代表人或者负责人有夫妻、直系血亲、三代以内旁系血亲或者近姻亲关系；</w:t>
      </w:r>
    </w:p>
    <w:p>
      <w:pPr>
        <w:pStyle w:val="null3"/>
        <w:ind w:firstLine="480"/>
        <w:jc w:val="left"/>
      </w:pPr>
      <w:r>
        <w:rPr/>
        <w:t>五、与投标人有其他可能影响政府采购活动公平、公正进行的关系。</w:t>
      </w:r>
    </w:p>
    <w:p>
      <w:pPr>
        <w:pStyle w:val="null3"/>
        <w:ind w:firstLine="480"/>
        <w:jc w:val="left"/>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二、投标人询问、质疑的答复主体：</w:t>
      </w:r>
    </w:p>
    <w:p>
      <w:pPr>
        <w:pStyle w:val="null3"/>
        <w:ind w:firstLine="480"/>
        <w:jc w:val="left"/>
      </w:pPr>
      <w:r>
        <w:rPr/>
        <w:t xml:space="preserve">根据委托代理协议约定，投标人对招标文件中采购需求的询问、质疑由 </w:t>
      </w:r>
      <w:r>
        <w:rPr/>
        <w:t>成都市公安局</w:t>
      </w:r>
      <w:r>
        <w:rPr/>
        <w:t xml:space="preserve"> 负责答复；投标人对除采购需求外的招标文件的询问、质疑由 </w:t>
      </w:r>
      <w:r>
        <w:rPr/>
        <w:t>四川国际招标有限责任公司</w:t>
      </w:r>
      <w:r>
        <w:rPr/>
        <w:t xml:space="preserve"> 负责答复；投标人对采购过程、采购结果的询问、质疑由 </w:t>
      </w:r>
      <w:r>
        <w:rPr/>
        <w:t>四川国际招标有限责任公司</w:t>
      </w:r>
      <w:r>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t>答复主体：代理机构</w:t>
      </w:r>
    </w:p>
    <w:p>
      <w:pPr>
        <w:pStyle w:val="null3"/>
        <w:jc w:val="left"/>
      </w:pPr>
      <w:r>
        <w:rPr/>
        <w:t>联系人：质量技术部（分机号：820/725）</w:t>
      </w:r>
    </w:p>
    <w:p>
      <w:pPr>
        <w:pStyle w:val="null3"/>
        <w:jc w:val="left"/>
      </w:pPr>
      <w:r>
        <w:rPr/>
        <w:t>联系电话：028-87797776</w:t>
      </w:r>
    </w:p>
    <w:p>
      <w:pPr>
        <w:pStyle w:val="null3"/>
        <w:jc w:val="left"/>
      </w:pPr>
      <w:r>
        <w:rPr/>
        <w:t>地址：中国（四川）自由贸易试验区成都市高新区天府四街66号1栋17层</w:t>
      </w:r>
    </w:p>
    <w:p>
      <w:pPr>
        <w:pStyle w:val="null3"/>
        <w:jc w:val="left"/>
      </w:pPr>
      <w:r>
        <w:rPr/>
        <w:t>邮编：610000</w:t>
      </w:r>
    </w:p>
    <w:p>
      <w:pPr>
        <w:pStyle w:val="null3"/>
        <w:ind w:firstLine="480"/>
        <w:jc w:val="left"/>
      </w:pPr>
      <w:r>
        <w:rPr/>
        <w:t>三、投标人提出的询问，应当明确询问事项，如以书面形式提出的，应由投标人签字并加盖公章。</w:t>
      </w:r>
    </w:p>
    <w:p>
      <w:pPr>
        <w:pStyle w:val="null3"/>
        <w:ind w:firstLine="480"/>
        <w:jc w:val="left"/>
      </w:pPr>
      <w:r>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t>（一）对可以质疑的招标文件提出质疑的，为收到招标文件之日或者招标文件公告期限届满之日；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五、投标人通过书面形式线下向采购人或者代理机构提交质疑资料。</w:t>
      </w:r>
    </w:p>
    <w:p>
      <w:pPr>
        <w:pStyle w:val="null3"/>
        <w:ind w:firstLine="480"/>
        <w:jc w:val="left"/>
      </w:pPr>
      <w:r>
        <w:rPr/>
        <w:t>六、投标人提出质疑时应当准备的资料</w:t>
      </w:r>
    </w:p>
    <w:p>
      <w:pPr>
        <w:pStyle w:val="null3"/>
        <w:ind w:firstLine="480"/>
        <w:jc w:val="left"/>
      </w:pPr>
      <w:r>
        <w:rPr/>
        <w:t>（一）质疑函正本1份；（政府采购投标人质疑函范本可在四川政府采购网下载专区下载）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（五）针对质疑事项必要的证明材料（针对招标文件提出的质疑，需提交从交易系统获取的招标文件回执单）。</w:t>
      </w:r>
    </w:p>
    <w:p>
      <w:pPr>
        <w:pStyle w:val="null3"/>
        <w:ind w:firstLine="480"/>
        <w:jc w:val="left"/>
      </w:pPr>
      <w:r>
        <w:rPr/>
        <w:t>注：根据《中华人民共和国政府采购法》的规定，投标人质疑不得超出招标文件、采购过程、采购结果的范围。</w:t>
      </w:r>
    </w:p>
    <w:p>
      <w:pPr>
        <w:pStyle w:val="null3"/>
        <w:ind w:firstLine="480"/>
        <w:jc w:val="left"/>
      </w:pPr>
      <w:r>
        <w:rPr/>
        <w:t>七、投标人对采购人或者代理机构的质疑答复不满意，或者采购人或者代理机构未在规定期限内作出答复的，投标人可以在答复期满后15个工作日内向同级财政部门提起投诉。（政府采购投标人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（三）以非法手段取得证明材料。证据来源的合法性存在明显疑问，投标人无法证明其取得方式合法的，视为以非法手段取得证明材料。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采购人或者代理机构应当在招标文件中明确线下开展采购活动的规则和方式，不得对投标人实行差别待遇或者歧视性待遇。线下采购活动应当全过程录音录像，形成书面评审记录上传至交易系统。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3.1.采购项目概况</w:t>
      </w:r>
    </w:p>
    <w:p>
      <w:pPr>
        <w:pStyle w:val="null3"/>
        <w:ind w:firstLine="480"/>
        <w:jc w:val="left"/>
      </w:pPr>
      <w:r>
        <w:rPr/>
        <w:t>本项目共一个包，采购警用装备设备一批。</w:t>
      </w:r>
    </w:p>
    <w:p>
      <w:pPr>
        <w:pStyle w:val="null3"/>
        <w:jc w:val="left"/>
        <w:outlineLvl w:val="2"/>
      </w:pPr>
      <w:r>
        <w:rPr>
          <w:b/>
          <w:sz w:val="28"/>
        </w:rPr>
        <w:t>3.2.采购内容</w:t>
      </w:r>
    </w:p>
    <w:p>
      <w:pPr>
        <w:pStyle w:val="null3"/>
        <w:jc w:val="left"/>
      </w:pPr>
      <w:r>
        <w:rPr/>
        <w:t>采购包1：</w:t>
      </w:r>
    </w:p>
    <w:p>
      <w:pPr>
        <w:pStyle w:val="null3"/>
        <w:jc w:val="left"/>
      </w:pPr>
      <w:r>
        <w:rPr/>
        <w:t>采购包预算金额（元）: 1,929,790.00</w:t>
      </w:r>
    </w:p>
    <w:p>
      <w:pPr>
        <w:pStyle w:val="null3"/>
        <w:jc w:val="left"/>
      </w:pPr>
      <w:r>
        <w:rPr/>
        <w:t>采购包最高限价（元）: 1,929,790.00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警械设备</w:t>
            </w:r>
          </w:p>
        </w:tc>
        <w:tc>
          <w:tcPr>
            <w:tcW w:type="dxa" w:w="821"/>
          </w:tcPr>
          <w:p>
            <w:pPr>
              <w:pStyle w:val="null3"/>
              <w:jc w:val="left"/>
            </w:pPr>
            <w:r>
              <w:rPr/>
              <w:t>防刺服(轻)</w:t>
            </w:r>
          </w:p>
        </w:tc>
        <w:tc>
          <w:tcPr>
            <w:tcW w:type="dxa" w:w="821"/>
          </w:tcPr>
          <w:p>
            <w:pPr>
              <w:pStyle w:val="null3"/>
              <w:jc w:val="right"/>
            </w:pPr>
            <w:r>
              <w:rPr/>
              <w:t>322.00（件）</w:t>
            </w:r>
          </w:p>
        </w:tc>
        <w:tc>
          <w:tcPr>
            <w:tcW w:type="dxa" w:w="821"/>
          </w:tcPr>
          <w:p>
            <w:pPr>
              <w:pStyle w:val="null3"/>
              <w:jc w:val="right"/>
            </w:pPr>
            <w:r>
              <w:rPr/>
              <w:t>193,200.00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警械设备</w:t>
            </w:r>
          </w:p>
        </w:tc>
        <w:tc>
          <w:tcPr>
            <w:tcW w:type="dxa" w:w="821"/>
          </w:tcPr>
          <w:p>
            <w:pPr>
              <w:pStyle w:val="null3"/>
              <w:jc w:val="left"/>
            </w:pPr>
            <w:r>
              <w:rPr/>
              <w:t>防弹头盔(轻)</w:t>
            </w:r>
          </w:p>
        </w:tc>
        <w:tc>
          <w:tcPr>
            <w:tcW w:type="dxa" w:w="821"/>
          </w:tcPr>
          <w:p>
            <w:pPr>
              <w:pStyle w:val="null3"/>
              <w:jc w:val="right"/>
            </w:pPr>
            <w:r>
              <w:rPr/>
              <w:t>186.00（个）</w:t>
            </w:r>
          </w:p>
        </w:tc>
        <w:tc>
          <w:tcPr>
            <w:tcW w:type="dxa" w:w="821"/>
          </w:tcPr>
          <w:p>
            <w:pPr>
              <w:pStyle w:val="null3"/>
              <w:jc w:val="right"/>
            </w:pPr>
            <w:r>
              <w:rPr/>
              <w:t>390,600.00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警械设备</w:t>
            </w:r>
          </w:p>
        </w:tc>
        <w:tc>
          <w:tcPr>
            <w:tcW w:type="dxa" w:w="821"/>
          </w:tcPr>
          <w:p>
            <w:pPr>
              <w:pStyle w:val="null3"/>
              <w:jc w:val="left"/>
            </w:pPr>
            <w:r>
              <w:rPr/>
              <w:t>法式小圆盾牌</w:t>
            </w:r>
          </w:p>
        </w:tc>
        <w:tc>
          <w:tcPr>
            <w:tcW w:type="dxa" w:w="821"/>
          </w:tcPr>
          <w:p>
            <w:pPr>
              <w:pStyle w:val="null3"/>
              <w:jc w:val="right"/>
            </w:pPr>
            <w:r>
              <w:rPr/>
              <w:t>45.00（个）</w:t>
            </w:r>
          </w:p>
        </w:tc>
        <w:tc>
          <w:tcPr>
            <w:tcW w:type="dxa" w:w="821"/>
          </w:tcPr>
          <w:p>
            <w:pPr>
              <w:pStyle w:val="null3"/>
              <w:jc w:val="right"/>
            </w:pPr>
            <w:r>
              <w:rPr/>
              <w:t>9,000.00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警械设备</w:t>
            </w:r>
          </w:p>
        </w:tc>
        <w:tc>
          <w:tcPr>
            <w:tcW w:type="dxa" w:w="821"/>
          </w:tcPr>
          <w:p>
            <w:pPr>
              <w:pStyle w:val="null3"/>
              <w:jc w:val="left"/>
            </w:pPr>
            <w:r>
              <w:rPr/>
              <w:t>防砍护臂</w:t>
            </w:r>
          </w:p>
        </w:tc>
        <w:tc>
          <w:tcPr>
            <w:tcW w:type="dxa" w:w="821"/>
          </w:tcPr>
          <w:p>
            <w:pPr>
              <w:pStyle w:val="null3"/>
              <w:jc w:val="right"/>
            </w:pPr>
            <w:r>
              <w:rPr/>
              <w:t>60.00（个）</w:t>
            </w:r>
          </w:p>
        </w:tc>
        <w:tc>
          <w:tcPr>
            <w:tcW w:type="dxa" w:w="821"/>
          </w:tcPr>
          <w:p>
            <w:pPr>
              <w:pStyle w:val="null3"/>
              <w:jc w:val="right"/>
            </w:pPr>
            <w:r>
              <w:rPr/>
              <w:t>13,200.00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警械设备</w:t>
            </w:r>
          </w:p>
        </w:tc>
        <w:tc>
          <w:tcPr>
            <w:tcW w:type="dxa" w:w="821"/>
          </w:tcPr>
          <w:p>
            <w:pPr>
              <w:pStyle w:val="null3"/>
              <w:jc w:val="left"/>
            </w:pPr>
            <w:r>
              <w:rPr/>
              <w:t>防弹衣(轻)</w:t>
            </w:r>
          </w:p>
        </w:tc>
        <w:tc>
          <w:tcPr>
            <w:tcW w:type="dxa" w:w="821"/>
          </w:tcPr>
          <w:p>
            <w:pPr>
              <w:pStyle w:val="null3"/>
              <w:jc w:val="right"/>
            </w:pPr>
            <w:r>
              <w:rPr/>
              <w:t>100.00（件）</w:t>
            </w:r>
          </w:p>
        </w:tc>
        <w:tc>
          <w:tcPr>
            <w:tcW w:type="dxa" w:w="821"/>
          </w:tcPr>
          <w:p>
            <w:pPr>
              <w:pStyle w:val="null3"/>
              <w:jc w:val="right"/>
            </w:pPr>
            <w:r>
              <w:rPr/>
              <w:t>350,000.00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警械设备</w:t>
            </w:r>
          </w:p>
        </w:tc>
        <w:tc>
          <w:tcPr>
            <w:tcW w:type="dxa" w:w="821"/>
          </w:tcPr>
          <w:p>
            <w:pPr>
              <w:pStyle w:val="null3"/>
              <w:jc w:val="left"/>
            </w:pPr>
            <w:r>
              <w:rPr/>
              <w:t>多功能攻防臂盾</w:t>
            </w:r>
          </w:p>
        </w:tc>
        <w:tc>
          <w:tcPr>
            <w:tcW w:type="dxa" w:w="821"/>
          </w:tcPr>
          <w:p>
            <w:pPr>
              <w:pStyle w:val="null3"/>
              <w:jc w:val="right"/>
            </w:pPr>
            <w:r>
              <w:rPr/>
              <w:t>38.00（个）</w:t>
            </w:r>
          </w:p>
        </w:tc>
        <w:tc>
          <w:tcPr>
            <w:tcW w:type="dxa" w:w="821"/>
          </w:tcPr>
          <w:p>
            <w:pPr>
              <w:pStyle w:val="null3"/>
              <w:jc w:val="right"/>
            </w:pPr>
            <w:r>
              <w:rPr/>
              <w:t>38,228.00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7</w:t>
            </w:r>
          </w:p>
        </w:tc>
        <w:tc>
          <w:tcPr>
            <w:tcW w:type="dxa" w:w="821"/>
          </w:tcPr>
          <w:p>
            <w:pPr>
              <w:pStyle w:val="null3"/>
              <w:jc w:val="left"/>
            </w:pPr>
            <w:r>
              <w:rPr/>
              <w:t>警械设备</w:t>
            </w:r>
          </w:p>
        </w:tc>
        <w:tc>
          <w:tcPr>
            <w:tcW w:type="dxa" w:w="821"/>
          </w:tcPr>
          <w:p>
            <w:pPr>
              <w:pStyle w:val="null3"/>
              <w:jc w:val="left"/>
            </w:pPr>
            <w:r>
              <w:rPr/>
              <w:t>警用喊话器</w:t>
            </w:r>
          </w:p>
        </w:tc>
        <w:tc>
          <w:tcPr>
            <w:tcW w:type="dxa" w:w="821"/>
          </w:tcPr>
          <w:p>
            <w:pPr>
              <w:pStyle w:val="null3"/>
              <w:jc w:val="right"/>
            </w:pPr>
            <w:r>
              <w:rPr/>
              <w:t>169.00（个）</w:t>
            </w:r>
          </w:p>
        </w:tc>
        <w:tc>
          <w:tcPr>
            <w:tcW w:type="dxa" w:w="821"/>
          </w:tcPr>
          <w:p>
            <w:pPr>
              <w:pStyle w:val="null3"/>
              <w:jc w:val="right"/>
            </w:pPr>
            <w:r>
              <w:rPr/>
              <w:t>37,011.00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警械设备</w:t>
            </w:r>
          </w:p>
        </w:tc>
        <w:tc>
          <w:tcPr>
            <w:tcW w:type="dxa" w:w="821"/>
          </w:tcPr>
          <w:p>
            <w:pPr>
              <w:pStyle w:val="null3"/>
              <w:jc w:val="left"/>
            </w:pPr>
            <w:r>
              <w:rPr/>
              <w:t>便携式阻车器</w:t>
            </w:r>
          </w:p>
        </w:tc>
        <w:tc>
          <w:tcPr>
            <w:tcW w:type="dxa" w:w="821"/>
          </w:tcPr>
          <w:p>
            <w:pPr>
              <w:pStyle w:val="null3"/>
              <w:jc w:val="right"/>
            </w:pPr>
            <w:r>
              <w:rPr/>
              <w:t>9.00（个）</w:t>
            </w:r>
          </w:p>
        </w:tc>
        <w:tc>
          <w:tcPr>
            <w:tcW w:type="dxa" w:w="821"/>
          </w:tcPr>
          <w:p>
            <w:pPr>
              <w:pStyle w:val="null3"/>
              <w:jc w:val="right"/>
            </w:pPr>
            <w:r>
              <w:rPr/>
              <w:t>29,403.00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9</w:t>
            </w:r>
          </w:p>
        </w:tc>
        <w:tc>
          <w:tcPr>
            <w:tcW w:type="dxa" w:w="821"/>
          </w:tcPr>
          <w:p>
            <w:pPr>
              <w:pStyle w:val="null3"/>
              <w:jc w:val="left"/>
            </w:pPr>
            <w:r>
              <w:rPr/>
              <w:t>警械设备</w:t>
            </w:r>
          </w:p>
        </w:tc>
        <w:tc>
          <w:tcPr>
            <w:tcW w:type="dxa" w:w="821"/>
          </w:tcPr>
          <w:p>
            <w:pPr>
              <w:pStyle w:val="null3"/>
              <w:jc w:val="left"/>
            </w:pPr>
            <w:r>
              <w:rPr/>
              <w:t>肩夹式执勤警灯</w:t>
            </w:r>
          </w:p>
        </w:tc>
        <w:tc>
          <w:tcPr>
            <w:tcW w:type="dxa" w:w="821"/>
          </w:tcPr>
          <w:p>
            <w:pPr>
              <w:pStyle w:val="null3"/>
              <w:jc w:val="right"/>
            </w:pPr>
            <w:r>
              <w:rPr/>
              <w:t>1,100.00（个）</w:t>
            </w:r>
          </w:p>
        </w:tc>
        <w:tc>
          <w:tcPr>
            <w:tcW w:type="dxa" w:w="821"/>
          </w:tcPr>
          <w:p>
            <w:pPr>
              <w:pStyle w:val="null3"/>
              <w:jc w:val="right"/>
            </w:pPr>
            <w:r>
              <w:rPr/>
              <w:t>49,500.00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10</w:t>
            </w:r>
          </w:p>
        </w:tc>
        <w:tc>
          <w:tcPr>
            <w:tcW w:type="dxa" w:w="821"/>
          </w:tcPr>
          <w:p>
            <w:pPr>
              <w:pStyle w:val="null3"/>
              <w:jc w:val="left"/>
            </w:pPr>
            <w:r>
              <w:rPr/>
              <w:t>警械设备</w:t>
            </w:r>
          </w:p>
        </w:tc>
        <w:tc>
          <w:tcPr>
            <w:tcW w:type="dxa" w:w="821"/>
          </w:tcPr>
          <w:p>
            <w:pPr>
              <w:pStyle w:val="null3"/>
              <w:jc w:val="left"/>
            </w:pPr>
            <w:r>
              <w:rPr/>
              <w:t>防毒面具</w:t>
            </w:r>
          </w:p>
        </w:tc>
        <w:tc>
          <w:tcPr>
            <w:tcW w:type="dxa" w:w="821"/>
          </w:tcPr>
          <w:p>
            <w:pPr>
              <w:pStyle w:val="null3"/>
              <w:jc w:val="right"/>
            </w:pPr>
            <w:r>
              <w:rPr/>
              <w:t>75.00（个）</w:t>
            </w:r>
          </w:p>
        </w:tc>
        <w:tc>
          <w:tcPr>
            <w:tcW w:type="dxa" w:w="821"/>
          </w:tcPr>
          <w:p>
            <w:pPr>
              <w:pStyle w:val="null3"/>
              <w:jc w:val="right"/>
            </w:pPr>
            <w:r>
              <w:rPr/>
              <w:t>51,750.00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11</w:t>
            </w:r>
          </w:p>
        </w:tc>
        <w:tc>
          <w:tcPr>
            <w:tcW w:type="dxa" w:w="821"/>
          </w:tcPr>
          <w:p>
            <w:pPr>
              <w:pStyle w:val="null3"/>
              <w:jc w:val="left"/>
            </w:pPr>
            <w:r>
              <w:rPr/>
              <w:t>警械设备</w:t>
            </w:r>
          </w:p>
        </w:tc>
        <w:tc>
          <w:tcPr>
            <w:tcW w:type="dxa" w:w="821"/>
          </w:tcPr>
          <w:p>
            <w:pPr>
              <w:pStyle w:val="null3"/>
              <w:jc w:val="left"/>
            </w:pPr>
            <w:r>
              <w:rPr/>
              <w:t>防毒服</w:t>
            </w:r>
          </w:p>
        </w:tc>
        <w:tc>
          <w:tcPr>
            <w:tcW w:type="dxa" w:w="821"/>
          </w:tcPr>
          <w:p>
            <w:pPr>
              <w:pStyle w:val="null3"/>
              <w:jc w:val="right"/>
            </w:pPr>
            <w:r>
              <w:rPr/>
              <w:t>18.00（件）</w:t>
            </w:r>
          </w:p>
        </w:tc>
        <w:tc>
          <w:tcPr>
            <w:tcW w:type="dxa" w:w="821"/>
          </w:tcPr>
          <w:p>
            <w:pPr>
              <w:pStyle w:val="null3"/>
              <w:jc w:val="right"/>
            </w:pPr>
            <w:r>
              <w:rPr/>
              <w:t>19,746.00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12</w:t>
            </w:r>
          </w:p>
        </w:tc>
        <w:tc>
          <w:tcPr>
            <w:tcW w:type="dxa" w:w="821"/>
          </w:tcPr>
          <w:p>
            <w:pPr>
              <w:pStyle w:val="null3"/>
              <w:jc w:val="left"/>
            </w:pPr>
            <w:r>
              <w:rPr/>
              <w:t>警械设备</w:t>
            </w:r>
          </w:p>
        </w:tc>
        <w:tc>
          <w:tcPr>
            <w:tcW w:type="dxa" w:w="821"/>
          </w:tcPr>
          <w:p>
            <w:pPr>
              <w:pStyle w:val="null3"/>
              <w:jc w:val="left"/>
            </w:pPr>
            <w:r>
              <w:rPr/>
              <w:t>手持金属探测仪</w:t>
            </w:r>
          </w:p>
        </w:tc>
        <w:tc>
          <w:tcPr>
            <w:tcW w:type="dxa" w:w="821"/>
          </w:tcPr>
          <w:p>
            <w:pPr>
              <w:pStyle w:val="null3"/>
              <w:jc w:val="right"/>
            </w:pPr>
            <w:r>
              <w:rPr/>
              <w:t>32.00（个）</w:t>
            </w:r>
          </w:p>
        </w:tc>
        <w:tc>
          <w:tcPr>
            <w:tcW w:type="dxa" w:w="821"/>
          </w:tcPr>
          <w:p>
            <w:pPr>
              <w:pStyle w:val="null3"/>
              <w:jc w:val="right"/>
            </w:pPr>
            <w:r>
              <w:rPr/>
              <w:t>29,152.00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13</w:t>
            </w:r>
          </w:p>
        </w:tc>
        <w:tc>
          <w:tcPr>
            <w:tcW w:type="dxa" w:w="821"/>
          </w:tcPr>
          <w:p>
            <w:pPr>
              <w:pStyle w:val="null3"/>
              <w:jc w:val="left"/>
            </w:pPr>
            <w:r>
              <w:rPr/>
              <w:t>警械设备</w:t>
            </w:r>
          </w:p>
        </w:tc>
        <w:tc>
          <w:tcPr>
            <w:tcW w:type="dxa" w:w="821"/>
          </w:tcPr>
          <w:p>
            <w:pPr>
              <w:pStyle w:val="null3"/>
              <w:jc w:val="left"/>
            </w:pPr>
            <w:r>
              <w:rPr/>
              <w:t>尼龙多功能腰带</w:t>
            </w:r>
          </w:p>
        </w:tc>
        <w:tc>
          <w:tcPr>
            <w:tcW w:type="dxa" w:w="821"/>
          </w:tcPr>
          <w:p>
            <w:pPr>
              <w:pStyle w:val="null3"/>
              <w:jc w:val="right"/>
            </w:pPr>
            <w:r>
              <w:rPr/>
              <w:t>1,025.00（条）</w:t>
            </w:r>
          </w:p>
        </w:tc>
        <w:tc>
          <w:tcPr>
            <w:tcW w:type="dxa" w:w="821"/>
          </w:tcPr>
          <w:p>
            <w:pPr>
              <w:pStyle w:val="null3"/>
              <w:jc w:val="right"/>
            </w:pPr>
            <w:r>
              <w:rPr/>
              <w:t>266,500.00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14</w:t>
            </w:r>
          </w:p>
        </w:tc>
        <w:tc>
          <w:tcPr>
            <w:tcW w:type="dxa" w:w="821"/>
          </w:tcPr>
          <w:p>
            <w:pPr>
              <w:pStyle w:val="null3"/>
              <w:jc w:val="left"/>
            </w:pPr>
            <w:r>
              <w:rPr/>
              <w:t>警械设备</w:t>
            </w:r>
          </w:p>
        </w:tc>
        <w:tc>
          <w:tcPr>
            <w:tcW w:type="dxa" w:w="821"/>
          </w:tcPr>
          <w:p>
            <w:pPr>
              <w:pStyle w:val="null3"/>
              <w:jc w:val="left"/>
            </w:pPr>
            <w:r>
              <w:rPr/>
              <w:t>伸缩警棍</w:t>
            </w:r>
          </w:p>
        </w:tc>
        <w:tc>
          <w:tcPr>
            <w:tcW w:type="dxa" w:w="821"/>
          </w:tcPr>
          <w:p>
            <w:pPr>
              <w:pStyle w:val="null3"/>
              <w:jc w:val="right"/>
            </w:pPr>
            <w:r>
              <w:rPr/>
              <w:t>750.00（个）</w:t>
            </w:r>
          </w:p>
        </w:tc>
        <w:tc>
          <w:tcPr>
            <w:tcW w:type="dxa" w:w="821"/>
          </w:tcPr>
          <w:p>
            <w:pPr>
              <w:pStyle w:val="null3"/>
              <w:jc w:val="right"/>
            </w:pPr>
            <w:r>
              <w:rPr/>
              <w:t>120,000.00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15</w:t>
            </w:r>
          </w:p>
        </w:tc>
        <w:tc>
          <w:tcPr>
            <w:tcW w:type="dxa" w:w="821"/>
          </w:tcPr>
          <w:p>
            <w:pPr>
              <w:pStyle w:val="null3"/>
              <w:jc w:val="left"/>
            </w:pPr>
            <w:r>
              <w:rPr/>
              <w:t>警械设备</w:t>
            </w:r>
          </w:p>
        </w:tc>
        <w:tc>
          <w:tcPr>
            <w:tcW w:type="dxa" w:w="821"/>
          </w:tcPr>
          <w:p>
            <w:pPr>
              <w:pStyle w:val="null3"/>
              <w:jc w:val="left"/>
            </w:pPr>
            <w:r>
              <w:rPr/>
              <w:t>催泪喷射器</w:t>
            </w:r>
          </w:p>
        </w:tc>
        <w:tc>
          <w:tcPr>
            <w:tcW w:type="dxa" w:w="821"/>
          </w:tcPr>
          <w:p>
            <w:pPr>
              <w:pStyle w:val="null3"/>
              <w:jc w:val="right"/>
            </w:pPr>
            <w:r>
              <w:rPr/>
              <w:t>500.00（个）</w:t>
            </w:r>
          </w:p>
        </w:tc>
        <w:tc>
          <w:tcPr>
            <w:tcW w:type="dxa" w:w="821"/>
          </w:tcPr>
          <w:p>
            <w:pPr>
              <w:pStyle w:val="null3"/>
              <w:jc w:val="right"/>
            </w:pPr>
            <w:r>
              <w:rPr/>
              <w:t>35,000.00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16</w:t>
            </w:r>
          </w:p>
        </w:tc>
        <w:tc>
          <w:tcPr>
            <w:tcW w:type="dxa" w:w="821"/>
          </w:tcPr>
          <w:p>
            <w:pPr>
              <w:pStyle w:val="null3"/>
              <w:jc w:val="left"/>
            </w:pPr>
            <w:r>
              <w:rPr/>
              <w:t>警械设备</w:t>
            </w:r>
          </w:p>
        </w:tc>
        <w:tc>
          <w:tcPr>
            <w:tcW w:type="dxa" w:w="821"/>
          </w:tcPr>
          <w:p>
            <w:pPr>
              <w:pStyle w:val="null3"/>
              <w:jc w:val="left"/>
            </w:pPr>
            <w:r>
              <w:rPr/>
              <w:t>液压多功能钳</w:t>
            </w:r>
          </w:p>
        </w:tc>
        <w:tc>
          <w:tcPr>
            <w:tcW w:type="dxa" w:w="821"/>
          </w:tcPr>
          <w:p>
            <w:pPr>
              <w:pStyle w:val="null3"/>
              <w:jc w:val="right"/>
            </w:pPr>
            <w:r>
              <w:rPr/>
              <w:t>3.00（个）</w:t>
            </w:r>
          </w:p>
        </w:tc>
        <w:tc>
          <w:tcPr>
            <w:tcW w:type="dxa" w:w="821"/>
          </w:tcPr>
          <w:p>
            <w:pPr>
              <w:pStyle w:val="null3"/>
              <w:jc w:val="right"/>
            </w:pPr>
            <w:r>
              <w:rPr/>
              <w:t>90,000.00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17</w:t>
            </w:r>
          </w:p>
        </w:tc>
        <w:tc>
          <w:tcPr>
            <w:tcW w:type="dxa" w:w="821"/>
          </w:tcPr>
          <w:p>
            <w:pPr>
              <w:pStyle w:val="null3"/>
              <w:jc w:val="left"/>
            </w:pPr>
            <w:r>
              <w:rPr/>
              <w:t>警械设备</w:t>
            </w:r>
          </w:p>
        </w:tc>
        <w:tc>
          <w:tcPr>
            <w:tcW w:type="dxa" w:w="821"/>
          </w:tcPr>
          <w:p>
            <w:pPr>
              <w:pStyle w:val="null3"/>
              <w:jc w:val="left"/>
            </w:pPr>
            <w:r>
              <w:rPr/>
              <w:t>便携式切割机</w:t>
            </w:r>
          </w:p>
        </w:tc>
        <w:tc>
          <w:tcPr>
            <w:tcW w:type="dxa" w:w="821"/>
          </w:tcPr>
          <w:p>
            <w:pPr>
              <w:pStyle w:val="null3"/>
              <w:jc w:val="right"/>
            </w:pPr>
            <w:r>
              <w:rPr/>
              <w:t>4.00（套）</w:t>
            </w:r>
          </w:p>
        </w:tc>
        <w:tc>
          <w:tcPr>
            <w:tcW w:type="dxa" w:w="821"/>
          </w:tcPr>
          <w:p>
            <w:pPr>
              <w:pStyle w:val="null3"/>
              <w:jc w:val="right"/>
            </w:pPr>
            <w:r>
              <w:rPr/>
              <w:t>32,000.00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18</w:t>
            </w:r>
          </w:p>
        </w:tc>
        <w:tc>
          <w:tcPr>
            <w:tcW w:type="dxa" w:w="821"/>
          </w:tcPr>
          <w:p>
            <w:pPr>
              <w:pStyle w:val="null3"/>
              <w:jc w:val="left"/>
            </w:pPr>
            <w:r>
              <w:rPr/>
              <w:t>警械设备</w:t>
            </w:r>
          </w:p>
        </w:tc>
        <w:tc>
          <w:tcPr>
            <w:tcW w:type="dxa" w:w="821"/>
          </w:tcPr>
          <w:p>
            <w:pPr>
              <w:pStyle w:val="null3"/>
              <w:jc w:val="left"/>
            </w:pPr>
            <w:r>
              <w:rPr/>
              <w:t>强光手电</w:t>
            </w:r>
          </w:p>
        </w:tc>
        <w:tc>
          <w:tcPr>
            <w:tcW w:type="dxa" w:w="821"/>
          </w:tcPr>
          <w:p>
            <w:pPr>
              <w:pStyle w:val="null3"/>
              <w:jc w:val="right"/>
            </w:pPr>
            <w:r>
              <w:rPr/>
              <w:t>750.00（个）</w:t>
            </w:r>
          </w:p>
        </w:tc>
        <w:tc>
          <w:tcPr>
            <w:tcW w:type="dxa" w:w="821"/>
          </w:tcPr>
          <w:p>
            <w:pPr>
              <w:pStyle w:val="null3"/>
              <w:jc w:val="right"/>
            </w:pPr>
            <w:r>
              <w:rPr/>
              <w:t>175,500.00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ind w:firstLine="480"/>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防刺服(轻)</w:t>
            </w:r>
          </w:p>
        </w:tc>
        <w:tc>
          <w:tcPr>
            <w:tcW w:type="dxa" w:w="977"/>
          </w:tcPr>
          <w:p>
            <w:pPr>
              <w:pStyle w:val="null3"/>
              <w:jc w:val="right"/>
            </w:pPr>
            <w:r>
              <w:rPr/>
              <w:t>322.00（件）</w:t>
            </w:r>
          </w:p>
        </w:tc>
        <w:tc>
          <w:tcPr>
            <w:tcW w:type="dxa" w:w="1173"/>
          </w:tcPr>
          <w:p>
            <w:pPr>
              <w:pStyle w:val="null3"/>
              <w:jc w:val="right"/>
            </w:pPr>
            <w:r>
              <w:rPr/>
              <w:t>600.00（元）</w:t>
            </w:r>
          </w:p>
        </w:tc>
        <w:tc>
          <w:tcPr>
            <w:tcW w:type="dxa" w:w="1173"/>
          </w:tcPr>
          <w:p>
            <w:pPr>
              <w:pStyle w:val="null3"/>
              <w:jc w:val="right"/>
            </w:pPr>
            <w:r>
              <w:rPr/>
              <w:t>193,200.00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防弹头盔(轻)</w:t>
            </w:r>
          </w:p>
        </w:tc>
        <w:tc>
          <w:tcPr>
            <w:tcW w:type="dxa" w:w="977"/>
          </w:tcPr>
          <w:p>
            <w:pPr>
              <w:pStyle w:val="null3"/>
              <w:jc w:val="right"/>
            </w:pPr>
            <w:r>
              <w:rPr/>
              <w:t>186.00（个）</w:t>
            </w:r>
          </w:p>
        </w:tc>
        <w:tc>
          <w:tcPr>
            <w:tcW w:type="dxa" w:w="1173"/>
          </w:tcPr>
          <w:p>
            <w:pPr>
              <w:pStyle w:val="null3"/>
              <w:jc w:val="right"/>
            </w:pPr>
            <w:r>
              <w:rPr/>
              <w:t>2,100.00（元）</w:t>
            </w:r>
          </w:p>
        </w:tc>
        <w:tc>
          <w:tcPr>
            <w:tcW w:type="dxa" w:w="1173"/>
          </w:tcPr>
          <w:p>
            <w:pPr>
              <w:pStyle w:val="null3"/>
              <w:jc w:val="right"/>
            </w:pPr>
            <w:r>
              <w:rPr/>
              <w:t>390,600.00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法式小圆盾牌</w:t>
            </w:r>
          </w:p>
        </w:tc>
        <w:tc>
          <w:tcPr>
            <w:tcW w:type="dxa" w:w="977"/>
          </w:tcPr>
          <w:p>
            <w:pPr>
              <w:pStyle w:val="null3"/>
              <w:jc w:val="right"/>
            </w:pPr>
            <w:r>
              <w:rPr/>
              <w:t>45.00（个）</w:t>
            </w:r>
          </w:p>
        </w:tc>
        <w:tc>
          <w:tcPr>
            <w:tcW w:type="dxa" w:w="1173"/>
          </w:tcPr>
          <w:p>
            <w:pPr>
              <w:pStyle w:val="null3"/>
              <w:jc w:val="right"/>
            </w:pPr>
            <w:r>
              <w:rPr/>
              <w:t>200.00（元）</w:t>
            </w:r>
          </w:p>
        </w:tc>
        <w:tc>
          <w:tcPr>
            <w:tcW w:type="dxa" w:w="1173"/>
          </w:tcPr>
          <w:p>
            <w:pPr>
              <w:pStyle w:val="null3"/>
              <w:jc w:val="right"/>
            </w:pPr>
            <w:r>
              <w:rPr/>
              <w:t>9,000.00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防砍护臂</w:t>
            </w:r>
          </w:p>
        </w:tc>
        <w:tc>
          <w:tcPr>
            <w:tcW w:type="dxa" w:w="977"/>
          </w:tcPr>
          <w:p>
            <w:pPr>
              <w:pStyle w:val="null3"/>
              <w:jc w:val="right"/>
            </w:pPr>
            <w:r>
              <w:rPr/>
              <w:t>60.00（个）</w:t>
            </w:r>
          </w:p>
        </w:tc>
        <w:tc>
          <w:tcPr>
            <w:tcW w:type="dxa" w:w="1173"/>
          </w:tcPr>
          <w:p>
            <w:pPr>
              <w:pStyle w:val="null3"/>
              <w:jc w:val="right"/>
            </w:pPr>
            <w:r>
              <w:rPr/>
              <w:t>220.00（元）</w:t>
            </w:r>
          </w:p>
        </w:tc>
        <w:tc>
          <w:tcPr>
            <w:tcW w:type="dxa" w:w="1173"/>
          </w:tcPr>
          <w:p>
            <w:pPr>
              <w:pStyle w:val="null3"/>
              <w:jc w:val="right"/>
            </w:pPr>
            <w:r>
              <w:rPr/>
              <w:t>13,200.00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防弹衣(轻)</w:t>
            </w:r>
          </w:p>
        </w:tc>
        <w:tc>
          <w:tcPr>
            <w:tcW w:type="dxa" w:w="977"/>
          </w:tcPr>
          <w:p>
            <w:pPr>
              <w:pStyle w:val="null3"/>
              <w:jc w:val="right"/>
            </w:pPr>
            <w:r>
              <w:rPr/>
              <w:t>100.00（件）</w:t>
            </w:r>
          </w:p>
        </w:tc>
        <w:tc>
          <w:tcPr>
            <w:tcW w:type="dxa" w:w="1173"/>
          </w:tcPr>
          <w:p>
            <w:pPr>
              <w:pStyle w:val="null3"/>
              <w:jc w:val="right"/>
            </w:pPr>
            <w:r>
              <w:rPr/>
              <w:t>3,500.00（元）</w:t>
            </w:r>
          </w:p>
        </w:tc>
        <w:tc>
          <w:tcPr>
            <w:tcW w:type="dxa" w:w="1173"/>
          </w:tcPr>
          <w:p>
            <w:pPr>
              <w:pStyle w:val="null3"/>
              <w:jc w:val="right"/>
            </w:pPr>
            <w:r>
              <w:rPr/>
              <w:t>350,000.00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多功能攻防臂盾</w:t>
            </w:r>
          </w:p>
        </w:tc>
        <w:tc>
          <w:tcPr>
            <w:tcW w:type="dxa" w:w="977"/>
          </w:tcPr>
          <w:p>
            <w:pPr>
              <w:pStyle w:val="null3"/>
              <w:jc w:val="right"/>
            </w:pPr>
            <w:r>
              <w:rPr/>
              <w:t>38.00（个）</w:t>
            </w:r>
          </w:p>
        </w:tc>
        <w:tc>
          <w:tcPr>
            <w:tcW w:type="dxa" w:w="1173"/>
          </w:tcPr>
          <w:p>
            <w:pPr>
              <w:pStyle w:val="null3"/>
              <w:jc w:val="right"/>
            </w:pPr>
            <w:r>
              <w:rPr/>
              <w:t>1,006.00（元）</w:t>
            </w:r>
          </w:p>
        </w:tc>
        <w:tc>
          <w:tcPr>
            <w:tcW w:type="dxa" w:w="1173"/>
          </w:tcPr>
          <w:p>
            <w:pPr>
              <w:pStyle w:val="null3"/>
              <w:jc w:val="right"/>
            </w:pPr>
            <w:r>
              <w:rPr/>
              <w:t>38,228.00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7</w:t>
            </w:r>
          </w:p>
        </w:tc>
        <w:tc>
          <w:tcPr>
            <w:tcW w:type="dxa" w:w="1466"/>
          </w:tcPr>
          <w:p>
            <w:pPr>
              <w:pStyle w:val="null3"/>
              <w:jc w:val="left"/>
            </w:pPr>
            <w:r>
              <w:rPr/>
              <w:t>警用喊话器</w:t>
            </w:r>
          </w:p>
        </w:tc>
        <w:tc>
          <w:tcPr>
            <w:tcW w:type="dxa" w:w="977"/>
          </w:tcPr>
          <w:p>
            <w:pPr>
              <w:pStyle w:val="null3"/>
              <w:jc w:val="right"/>
            </w:pPr>
            <w:r>
              <w:rPr/>
              <w:t>169.00（个）</w:t>
            </w:r>
          </w:p>
        </w:tc>
        <w:tc>
          <w:tcPr>
            <w:tcW w:type="dxa" w:w="1173"/>
          </w:tcPr>
          <w:p>
            <w:pPr>
              <w:pStyle w:val="null3"/>
              <w:jc w:val="right"/>
            </w:pPr>
            <w:r>
              <w:rPr/>
              <w:t>219.00（元）</w:t>
            </w:r>
          </w:p>
        </w:tc>
        <w:tc>
          <w:tcPr>
            <w:tcW w:type="dxa" w:w="1173"/>
          </w:tcPr>
          <w:p>
            <w:pPr>
              <w:pStyle w:val="null3"/>
              <w:jc w:val="right"/>
            </w:pPr>
            <w:r>
              <w:rPr/>
              <w:t>37,011.00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8</w:t>
            </w:r>
          </w:p>
        </w:tc>
        <w:tc>
          <w:tcPr>
            <w:tcW w:type="dxa" w:w="1466"/>
          </w:tcPr>
          <w:p>
            <w:pPr>
              <w:pStyle w:val="null3"/>
              <w:jc w:val="left"/>
            </w:pPr>
            <w:r>
              <w:rPr/>
              <w:t>便携式阻车器</w:t>
            </w:r>
          </w:p>
        </w:tc>
        <w:tc>
          <w:tcPr>
            <w:tcW w:type="dxa" w:w="977"/>
          </w:tcPr>
          <w:p>
            <w:pPr>
              <w:pStyle w:val="null3"/>
              <w:jc w:val="right"/>
            </w:pPr>
            <w:r>
              <w:rPr/>
              <w:t>9.00（个）</w:t>
            </w:r>
          </w:p>
        </w:tc>
        <w:tc>
          <w:tcPr>
            <w:tcW w:type="dxa" w:w="1173"/>
          </w:tcPr>
          <w:p>
            <w:pPr>
              <w:pStyle w:val="null3"/>
              <w:jc w:val="right"/>
            </w:pPr>
            <w:r>
              <w:rPr/>
              <w:t>3,267.00（元）</w:t>
            </w:r>
          </w:p>
        </w:tc>
        <w:tc>
          <w:tcPr>
            <w:tcW w:type="dxa" w:w="1173"/>
          </w:tcPr>
          <w:p>
            <w:pPr>
              <w:pStyle w:val="null3"/>
              <w:jc w:val="right"/>
            </w:pPr>
            <w:r>
              <w:rPr/>
              <w:t>29,403.00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9</w:t>
            </w:r>
          </w:p>
        </w:tc>
        <w:tc>
          <w:tcPr>
            <w:tcW w:type="dxa" w:w="1466"/>
          </w:tcPr>
          <w:p>
            <w:pPr>
              <w:pStyle w:val="null3"/>
              <w:jc w:val="left"/>
            </w:pPr>
            <w:r>
              <w:rPr/>
              <w:t>肩夹式执勤警灯</w:t>
            </w:r>
          </w:p>
        </w:tc>
        <w:tc>
          <w:tcPr>
            <w:tcW w:type="dxa" w:w="977"/>
          </w:tcPr>
          <w:p>
            <w:pPr>
              <w:pStyle w:val="null3"/>
              <w:jc w:val="right"/>
            </w:pPr>
            <w:r>
              <w:rPr/>
              <w:t>1,100.00（个）</w:t>
            </w:r>
          </w:p>
        </w:tc>
        <w:tc>
          <w:tcPr>
            <w:tcW w:type="dxa" w:w="1173"/>
          </w:tcPr>
          <w:p>
            <w:pPr>
              <w:pStyle w:val="null3"/>
              <w:jc w:val="right"/>
            </w:pPr>
            <w:r>
              <w:rPr/>
              <w:t>45.00（元）</w:t>
            </w:r>
          </w:p>
        </w:tc>
        <w:tc>
          <w:tcPr>
            <w:tcW w:type="dxa" w:w="1173"/>
          </w:tcPr>
          <w:p>
            <w:pPr>
              <w:pStyle w:val="null3"/>
              <w:jc w:val="right"/>
            </w:pPr>
            <w:r>
              <w:rPr/>
              <w:t>49,500.00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10</w:t>
            </w:r>
          </w:p>
        </w:tc>
        <w:tc>
          <w:tcPr>
            <w:tcW w:type="dxa" w:w="1466"/>
          </w:tcPr>
          <w:p>
            <w:pPr>
              <w:pStyle w:val="null3"/>
              <w:jc w:val="left"/>
            </w:pPr>
            <w:r>
              <w:rPr/>
              <w:t>防毒面具</w:t>
            </w:r>
          </w:p>
        </w:tc>
        <w:tc>
          <w:tcPr>
            <w:tcW w:type="dxa" w:w="977"/>
          </w:tcPr>
          <w:p>
            <w:pPr>
              <w:pStyle w:val="null3"/>
              <w:jc w:val="right"/>
            </w:pPr>
            <w:r>
              <w:rPr/>
              <w:t>75.00（个）</w:t>
            </w:r>
          </w:p>
        </w:tc>
        <w:tc>
          <w:tcPr>
            <w:tcW w:type="dxa" w:w="1173"/>
          </w:tcPr>
          <w:p>
            <w:pPr>
              <w:pStyle w:val="null3"/>
              <w:jc w:val="right"/>
            </w:pPr>
            <w:r>
              <w:rPr/>
              <w:t>690.00（元）</w:t>
            </w:r>
          </w:p>
        </w:tc>
        <w:tc>
          <w:tcPr>
            <w:tcW w:type="dxa" w:w="1173"/>
          </w:tcPr>
          <w:p>
            <w:pPr>
              <w:pStyle w:val="null3"/>
              <w:jc w:val="right"/>
            </w:pPr>
            <w:r>
              <w:rPr/>
              <w:t>51,750.00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11</w:t>
            </w:r>
          </w:p>
        </w:tc>
        <w:tc>
          <w:tcPr>
            <w:tcW w:type="dxa" w:w="1466"/>
          </w:tcPr>
          <w:p>
            <w:pPr>
              <w:pStyle w:val="null3"/>
              <w:jc w:val="left"/>
            </w:pPr>
            <w:r>
              <w:rPr/>
              <w:t>防毒服</w:t>
            </w:r>
          </w:p>
        </w:tc>
        <w:tc>
          <w:tcPr>
            <w:tcW w:type="dxa" w:w="977"/>
          </w:tcPr>
          <w:p>
            <w:pPr>
              <w:pStyle w:val="null3"/>
              <w:jc w:val="right"/>
            </w:pPr>
            <w:r>
              <w:rPr/>
              <w:t>18.00（件）</w:t>
            </w:r>
          </w:p>
        </w:tc>
        <w:tc>
          <w:tcPr>
            <w:tcW w:type="dxa" w:w="1173"/>
          </w:tcPr>
          <w:p>
            <w:pPr>
              <w:pStyle w:val="null3"/>
              <w:jc w:val="right"/>
            </w:pPr>
            <w:r>
              <w:rPr/>
              <w:t>1,097.00（元）</w:t>
            </w:r>
          </w:p>
        </w:tc>
        <w:tc>
          <w:tcPr>
            <w:tcW w:type="dxa" w:w="1173"/>
          </w:tcPr>
          <w:p>
            <w:pPr>
              <w:pStyle w:val="null3"/>
              <w:jc w:val="right"/>
            </w:pPr>
            <w:r>
              <w:rPr/>
              <w:t>19,746.00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12</w:t>
            </w:r>
          </w:p>
        </w:tc>
        <w:tc>
          <w:tcPr>
            <w:tcW w:type="dxa" w:w="1466"/>
          </w:tcPr>
          <w:p>
            <w:pPr>
              <w:pStyle w:val="null3"/>
              <w:jc w:val="left"/>
            </w:pPr>
            <w:r>
              <w:rPr/>
              <w:t>手持金属探测仪</w:t>
            </w:r>
          </w:p>
        </w:tc>
        <w:tc>
          <w:tcPr>
            <w:tcW w:type="dxa" w:w="977"/>
          </w:tcPr>
          <w:p>
            <w:pPr>
              <w:pStyle w:val="null3"/>
              <w:jc w:val="right"/>
            </w:pPr>
            <w:r>
              <w:rPr/>
              <w:t>32.00（个）</w:t>
            </w:r>
          </w:p>
        </w:tc>
        <w:tc>
          <w:tcPr>
            <w:tcW w:type="dxa" w:w="1173"/>
          </w:tcPr>
          <w:p>
            <w:pPr>
              <w:pStyle w:val="null3"/>
              <w:jc w:val="right"/>
            </w:pPr>
            <w:r>
              <w:rPr/>
              <w:t>911.00（元）</w:t>
            </w:r>
          </w:p>
        </w:tc>
        <w:tc>
          <w:tcPr>
            <w:tcW w:type="dxa" w:w="1173"/>
          </w:tcPr>
          <w:p>
            <w:pPr>
              <w:pStyle w:val="null3"/>
              <w:jc w:val="right"/>
            </w:pPr>
            <w:r>
              <w:rPr/>
              <w:t>29,152.00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13</w:t>
            </w:r>
          </w:p>
        </w:tc>
        <w:tc>
          <w:tcPr>
            <w:tcW w:type="dxa" w:w="1466"/>
          </w:tcPr>
          <w:p>
            <w:pPr>
              <w:pStyle w:val="null3"/>
              <w:jc w:val="left"/>
            </w:pPr>
            <w:r>
              <w:rPr/>
              <w:t>尼龙多功能腰带</w:t>
            </w:r>
          </w:p>
        </w:tc>
        <w:tc>
          <w:tcPr>
            <w:tcW w:type="dxa" w:w="977"/>
          </w:tcPr>
          <w:p>
            <w:pPr>
              <w:pStyle w:val="null3"/>
              <w:jc w:val="right"/>
            </w:pPr>
            <w:r>
              <w:rPr/>
              <w:t>1,025.00（条）</w:t>
            </w:r>
          </w:p>
        </w:tc>
        <w:tc>
          <w:tcPr>
            <w:tcW w:type="dxa" w:w="1173"/>
          </w:tcPr>
          <w:p>
            <w:pPr>
              <w:pStyle w:val="null3"/>
              <w:jc w:val="right"/>
            </w:pPr>
            <w:r>
              <w:rPr/>
              <w:t>260.00（元）</w:t>
            </w:r>
          </w:p>
        </w:tc>
        <w:tc>
          <w:tcPr>
            <w:tcW w:type="dxa" w:w="1173"/>
          </w:tcPr>
          <w:p>
            <w:pPr>
              <w:pStyle w:val="null3"/>
              <w:jc w:val="right"/>
            </w:pPr>
            <w:r>
              <w:rPr/>
              <w:t>266,500.00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14</w:t>
            </w:r>
          </w:p>
        </w:tc>
        <w:tc>
          <w:tcPr>
            <w:tcW w:type="dxa" w:w="1466"/>
          </w:tcPr>
          <w:p>
            <w:pPr>
              <w:pStyle w:val="null3"/>
              <w:jc w:val="left"/>
            </w:pPr>
            <w:r>
              <w:rPr/>
              <w:t>伸缩警棍</w:t>
            </w:r>
          </w:p>
        </w:tc>
        <w:tc>
          <w:tcPr>
            <w:tcW w:type="dxa" w:w="977"/>
          </w:tcPr>
          <w:p>
            <w:pPr>
              <w:pStyle w:val="null3"/>
              <w:jc w:val="right"/>
            </w:pPr>
            <w:r>
              <w:rPr/>
              <w:t>750.00（个）</w:t>
            </w:r>
          </w:p>
        </w:tc>
        <w:tc>
          <w:tcPr>
            <w:tcW w:type="dxa" w:w="1173"/>
          </w:tcPr>
          <w:p>
            <w:pPr>
              <w:pStyle w:val="null3"/>
              <w:jc w:val="right"/>
            </w:pPr>
            <w:r>
              <w:rPr/>
              <w:t>160.00（元）</w:t>
            </w:r>
          </w:p>
        </w:tc>
        <w:tc>
          <w:tcPr>
            <w:tcW w:type="dxa" w:w="1173"/>
          </w:tcPr>
          <w:p>
            <w:pPr>
              <w:pStyle w:val="null3"/>
              <w:jc w:val="right"/>
            </w:pPr>
            <w:r>
              <w:rPr/>
              <w:t>120,000.00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15</w:t>
            </w:r>
          </w:p>
        </w:tc>
        <w:tc>
          <w:tcPr>
            <w:tcW w:type="dxa" w:w="1466"/>
          </w:tcPr>
          <w:p>
            <w:pPr>
              <w:pStyle w:val="null3"/>
              <w:jc w:val="left"/>
            </w:pPr>
            <w:r>
              <w:rPr/>
              <w:t>催泪喷射器</w:t>
            </w:r>
          </w:p>
        </w:tc>
        <w:tc>
          <w:tcPr>
            <w:tcW w:type="dxa" w:w="977"/>
          </w:tcPr>
          <w:p>
            <w:pPr>
              <w:pStyle w:val="null3"/>
              <w:jc w:val="right"/>
            </w:pPr>
            <w:r>
              <w:rPr/>
              <w:t>500.00（个）</w:t>
            </w:r>
          </w:p>
        </w:tc>
        <w:tc>
          <w:tcPr>
            <w:tcW w:type="dxa" w:w="1173"/>
          </w:tcPr>
          <w:p>
            <w:pPr>
              <w:pStyle w:val="null3"/>
              <w:jc w:val="right"/>
            </w:pPr>
            <w:r>
              <w:rPr/>
              <w:t>70.00（元）</w:t>
            </w:r>
          </w:p>
        </w:tc>
        <w:tc>
          <w:tcPr>
            <w:tcW w:type="dxa" w:w="1173"/>
          </w:tcPr>
          <w:p>
            <w:pPr>
              <w:pStyle w:val="null3"/>
              <w:jc w:val="right"/>
            </w:pPr>
            <w:r>
              <w:rPr/>
              <w:t>35,000.00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16</w:t>
            </w:r>
          </w:p>
        </w:tc>
        <w:tc>
          <w:tcPr>
            <w:tcW w:type="dxa" w:w="1466"/>
          </w:tcPr>
          <w:p>
            <w:pPr>
              <w:pStyle w:val="null3"/>
              <w:jc w:val="left"/>
            </w:pPr>
            <w:r>
              <w:rPr/>
              <w:t>液压多功能钳</w:t>
            </w:r>
          </w:p>
        </w:tc>
        <w:tc>
          <w:tcPr>
            <w:tcW w:type="dxa" w:w="977"/>
          </w:tcPr>
          <w:p>
            <w:pPr>
              <w:pStyle w:val="null3"/>
              <w:jc w:val="right"/>
            </w:pPr>
            <w:r>
              <w:rPr/>
              <w:t>3.00（个）</w:t>
            </w:r>
          </w:p>
        </w:tc>
        <w:tc>
          <w:tcPr>
            <w:tcW w:type="dxa" w:w="1173"/>
          </w:tcPr>
          <w:p>
            <w:pPr>
              <w:pStyle w:val="null3"/>
              <w:jc w:val="right"/>
            </w:pPr>
            <w:r>
              <w:rPr/>
              <w:t>30,000.00（元）</w:t>
            </w:r>
          </w:p>
        </w:tc>
        <w:tc>
          <w:tcPr>
            <w:tcW w:type="dxa" w:w="1173"/>
          </w:tcPr>
          <w:p>
            <w:pPr>
              <w:pStyle w:val="null3"/>
              <w:jc w:val="right"/>
            </w:pPr>
            <w:r>
              <w:rPr/>
              <w:t>90,000.00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17</w:t>
            </w:r>
          </w:p>
        </w:tc>
        <w:tc>
          <w:tcPr>
            <w:tcW w:type="dxa" w:w="1466"/>
          </w:tcPr>
          <w:p>
            <w:pPr>
              <w:pStyle w:val="null3"/>
              <w:jc w:val="left"/>
            </w:pPr>
            <w:r>
              <w:rPr/>
              <w:t>便携式切割机</w:t>
            </w:r>
          </w:p>
        </w:tc>
        <w:tc>
          <w:tcPr>
            <w:tcW w:type="dxa" w:w="977"/>
          </w:tcPr>
          <w:p>
            <w:pPr>
              <w:pStyle w:val="null3"/>
              <w:jc w:val="right"/>
            </w:pPr>
            <w:r>
              <w:rPr/>
              <w:t>4.00（套）</w:t>
            </w:r>
          </w:p>
        </w:tc>
        <w:tc>
          <w:tcPr>
            <w:tcW w:type="dxa" w:w="1173"/>
          </w:tcPr>
          <w:p>
            <w:pPr>
              <w:pStyle w:val="null3"/>
              <w:jc w:val="right"/>
            </w:pPr>
            <w:r>
              <w:rPr/>
              <w:t>8,000.00（元）</w:t>
            </w:r>
          </w:p>
        </w:tc>
        <w:tc>
          <w:tcPr>
            <w:tcW w:type="dxa" w:w="1173"/>
          </w:tcPr>
          <w:p>
            <w:pPr>
              <w:pStyle w:val="null3"/>
              <w:jc w:val="right"/>
            </w:pPr>
            <w:r>
              <w:rPr/>
              <w:t>32,000.00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18</w:t>
            </w:r>
          </w:p>
        </w:tc>
        <w:tc>
          <w:tcPr>
            <w:tcW w:type="dxa" w:w="1466"/>
          </w:tcPr>
          <w:p>
            <w:pPr>
              <w:pStyle w:val="null3"/>
              <w:jc w:val="left"/>
            </w:pPr>
            <w:r>
              <w:rPr/>
              <w:t>强光手电</w:t>
            </w:r>
          </w:p>
        </w:tc>
        <w:tc>
          <w:tcPr>
            <w:tcW w:type="dxa" w:w="977"/>
          </w:tcPr>
          <w:p>
            <w:pPr>
              <w:pStyle w:val="null3"/>
              <w:jc w:val="right"/>
            </w:pPr>
            <w:r>
              <w:rPr/>
              <w:t>750.00（个）</w:t>
            </w:r>
          </w:p>
        </w:tc>
        <w:tc>
          <w:tcPr>
            <w:tcW w:type="dxa" w:w="1173"/>
          </w:tcPr>
          <w:p>
            <w:pPr>
              <w:pStyle w:val="null3"/>
              <w:jc w:val="right"/>
            </w:pPr>
            <w:r>
              <w:rPr/>
              <w:t>234.00（元）</w:t>
            </w:r>
          </w:p>
        </w:tc>
        <w:tc>
          <w:tcPr>
            <w:tcW w:type="dxa" w:w="1173"/>
          </w:tcPr>
          <w:p>
            <w:pPr>
              <w:pStyle w:val="null3"/>
              <w:jc w:val="right"/>
            </w:pPr>
            <w:r>
              <w:rPr/>
              <w:t>175,500.00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ind w:firstLine="480"/>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警械设备</w:t>
            </w:r>
          </w:p>
        </w:tc>
        <w:tc>
          <w:tcPr>
            <w:tcW w:type="dxa" w:w="2492"/>
          </w:tcPr>
          <w:p>
            <w:pPr>
              <w:pStyle w:val="null3"/>
              <w:jc w:val="left"/>
            </w:pPr>
            <w:r>
              <w:rPr/>
              <w:t>防刺服(轻)</w:t>
            </w:r>
          </w:p>
        </w:tc>
        <w:tc>
          <w:tcPr>
            <w:tcW w:type="dxa" w:w="2492"/>
          </w:tcPr>
          <w:p>
            <w:pPr>
              <w:pStyle w:val="null3"/>
              <w:jc w:val="left"/>
            </w:pPr>
            <w:r>
              <w:rPr/>
              <w:t>防刺服(轻)</w:t>
            </w:r>
          </w:p>
        </w:tc>
      </w:tr>
      <w:tr>
        <w:tc>
          <w:tcPr>
            <w:tcW w:type="dxa" w:w="831"/>
          </w:tcPr>
          <w:p>
            <w:pPr>
              <w:pStyle w:val="null3"/>
              <w:jc w:val="left"/>
            </w:pPr>
            <w:r>
              <w:rPr/>
              <w:t>2</w:t>
            </w:r>
          </w:p>
        </w:tc>
        <w:tc>
          <w:tcPr>
            <w:tcW w:type="dxa" w:w="2492"/>
          </w:tcPr>
          <w:p>
            <w:pPr>
              <w:pStyle w:val="null3"/>
              <w:jc w:val="left"/>
            </w:pPr>
            <w:r>
              <w:rPr/>
              <w:t>警械设备</w:t>
            </w:r>
          </w:p>
        </w:tc>
        <w:tc>
          <w:tcPr>
            <w:tcW w:type="dxa" w:w="2492"/>
          </w:tcPr>
          <w:p>
            <w:pPr>
              <w:pStyle w:val="null3"/>
              <w:jc w:val="left"/>
            </w:pPr>
            <w:r>
              <w:rPr/>
              <w:t>防弹衣(轻)</w:t>
            </w:r>
          </w:p>
        </w:tc>
        <w:tc>
          <w:tcPr>
            <w:tcW w:type="dxa" w:w="2492"/>
          </w:tcPr>
          <w:p>
            <w:pPr>
              <w:pStyle w:val="null3"/>
              <w:jc w:val="left"/>
            </w:pPr>
            <w:r>
              <w:rPr/>
              <w:t>防弹衣(轻)</w:t>
            </w:r>
          </w:p>
        </w:tc>
      </w:tr>
    </w:tbl>
    <w:p>
      <w:pPr>
        <w:pStyle w:val="null3"/>
        <w:ind w:firstLine="480"/>
        <w:jc w:val="left"/>
      </w:pPr>
      <w:r>
        <w:rPr/>
        <w:t>注：涉及核心产品的，具体评审规定见第五章。</w:t>
      </w:r>
    </w:p>
    <w:p>
      <w:pPr>
        <w:pStyle w:val="null3"/>
        <w:ind w:firstLine="480"/>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ind w:firstLine="480"/>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ind w:firstLine="480"/>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ind w:firstLine="480"/>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3.3.技术要求</w:t>
      </w:r>
    </w:p>
    <w:p>
      <w:pPr>
        <w:pStyle w:val="null3"/>
        <w:jc w:val="left"/>
      </w:pPr>
      <w:r>
        <w:rPr/>
        <w:t>采购包1：</w:t>
      </w:r>
    </w:p>
    <w:p>
      <w:pPr>
        <w:pStyle w:val="null3"/>
        <w:jc w:val="left"/>
      </w:pPr>
      <w:r>
        <w:rPr/>
        <w:t>标的名称：防刺服(轻)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★1、符合《GA 68-2019 警用防刺服》中A类警用防刺服的要求及相关规定</w:t>
            </w:r>
            <w:r>
              <w:rPr>
                <w:rFonts w:ascii="宋体" w:hAnsi="宋体" w:cs="宋体" w:eastAsia="宋体"/>
                <w:sz w:val="21"/>
              </w:rPr>
              <w:t>；</w:t>
            </w:r>
            <w:r>
              <w:rPr>
                <w:rFonts w:ascii="宋体" w:hAnsi="宋体" w:cs="宋体" w:eastAsia="宋体"/>
                <w:b/>
                <w:sz w:val="21"/>
              </w:rPr>
              <w:t>（投标时提供国家认可的第三方检测机构出具的检测报告扫描件）</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、产品构造：防刺服由外套、防刺层（含保护套）组成，防刺层结构为金属板材料制作，防刺服外套由前胸、后背、腰带、肩带组成，肩部和腰部大小可调节</w:t>
            </w:r>
            <w:r>
              <w:rPr>
                <w:rFonts w:ascii="宋体" w:hAnsi="宋体" w:cs="宋体" w:eastAsia="宋体"/>
                <w:sz w:val="21"/>
              </w:rPr>
              <w:t>；</w:t>
            </w:r>
            <w:r>
              <w:rPr>
                <w:b/>
              </w:rPr>
              <w:t xml:space="preserve"> </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、防刺性能：常温条件下，使用</w:t>
            </w:r>
            <w:r>
              <w:rPr>
                <w:rFonts w:ascii="宋体" w:hAnsi="宋体" w:cs="宋体" w:eastAsia="宋体"/>
                <w:sz w:val="21"/>
              </w:rPr>
              <w:t>D1刀具对样品前后片分别进行5次有效穿刺后，样品未穿透</w:t>
            </w:r>
            <w:r>
              <w:rPr>
                <w:rFonts w:ascii="宋体" w:hAnsi="宋体" w:cs="宋体" w:eastAsia="宋体"/>
                <w:sz w:val="21"/>
              </w:rPr>
              <w:t>。</w:t>
            </w:r>
          </w:p>
          <w:p>
            <w:pPr>
              <w:pStyle w:val="null3"/>
              <w:jc w:val="left"/>
            </w:pPr>
            <w:r>
              <w:rPr>
                <w:rFonts w:ascii="宋体" w:hAnsi="宋体" w:cs="宋体" w:eastAsia="宋体"/>
                <w:sz w:val="21"/>
              </w:rPr>
              <w:t>★4、产品生产日期应为2024年1月1日及之后。</w:t>
            </w:r>
          </w:p>
          <w:p>
            <w:pPr>
              <w:pStyle w:val="null3"/>
              <w:jc w:val="left"/>
            </w:pPr>
            <w:r>
              <w:rPr>
                <w:rFonts w:ascii="宋体" w:hAnsi="宋体" w:cs="宋体" w:eastAsia="宋体"/>
                <w:b/>
                <w:sz w:val="21"/>
              </w:rPr>
              <w:t>注：</w:t>
            </w:r>
            <w:r>
              <w:rPr>
                <w:rFonts w:ascii="宋体" w:hAnsi="宋体" w:cs="宋体" w:eastAsia="宋体"/>
                <w:b/>
                <w:sz w:val="21"/>
              </w:rPr>
              <w:t>第</w:t>
            </w:r>
            <w:r>
              <w:rPr>
                <w:rFonts w:ascii="宋体" w:hAnsi="宋体" w:cs="宋体" w:eastAsia="宋体"/>
                <w:b/>
                <w:sz w:val="21"/>
              </w:rPr>
              <w:t>2</w:t>
            </w:r>
            <w:r>
              <w:rPr>
                <w:rFonts w:ascii="宋体" w:hAnsi="宋体" w:cs="宋体" w:eastAsia="宋体"/>
                <w:b/>
                <w:sz w:val="21"/>
              </w:rPr>
              <w:t>项～第</w:t>
            </w:r>
            <w:r>
              <w:rPr>
                <w:rFonts w:ascii="宋体" w:hAnsi="宋体" w:cs="宋体" w:eastAsia="宋体"/>
                <w:b/>
                <w:sz w:val="21"/>
              </w:rPr>
              <w:t>3</w:t>
            </w:r>
            <w:r>
              <w:rPr>
                <w:rFonts w:ascii="宋体" w:hAnsi="宋体" w:cs="宋体" w:eastAsia="宋体"/>
                <w:b/>
                <w:sz w:val="21"/>
              </w:rPr>
              <w:t>项</w:t>
            </w:r>
            <w:r>
              <w:rPr>
                <w:rFonts w:ascii="宋体" w:hAnsi="宋体" w:cs="宋体" w:eastAsia="宋体"/>
                <w:b/>
                <w:sz w:val="21"/>
              </w:rPr>
              <w:t>“</w:t>
            </w:r>
            <w:r>
              <w:rPr>
                <w:rFonts w:ascii="宋体" w:hAnsi="宋体" w:cs="宋体" w:eastAsia="宋体"/>
                <w:sz w:val="21"/>
              </w:rPr>
              <w:t>★</w:t>
            </w:r>
            <w:r>
              <w:rPr>
                <w:rFonts w:ascii="宋体" w:hAnsi="宋体" w:cs="宋体" w:eastAsia="宋体"/>
                <w:b/>
                <w:sz w:val="21"/>
              </w:rPr>
              <w:t>”号参数，</w:t>
            </w:r>
            <w:r>
              <w:rPr>
                <w:rFonts w:ascii="宋体" w:hAnsi="宋体" w:cs="宋体" w:eastAsia="宋体"/>
                <w:b/>
                <w:sz w:val="21"/>
              </w:rPr>
              <w:t>投标时提供承诺函，验收时提供国家认可的第三方检测机构出具的检测报告原件或复印件</w:t>
            </w:r>
            <w:r>
              <w:rPr>
                <w:rFonts w:ascii="宋体" w:hAnsi="宋体" w:cs="宋体" w:eastAsia="宋体"/>
                <w:b/>
                <w:sz w:val="21"/>
              </w:rPr>
              <w:t>。</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、防刺层保护套材料性能：保护套材料的抗静水压性能应能达到</w:t>
            </w:r>
            <w:r>
              <w:rPr>
                <w:rFonts w:ascii="宋体" w:hAnsi="宋体" w:cs="宋体" w:eastAsia="宋体"/>
                <w:sz w:val="21"/>
              </w:rPr>
              <w:t>GB/T 4744-2013中规定的5级；</w:t>
            </w:r>
            <w:r>
              <w:rPr/>
              <w:t xml:space="preserve"> </w:t>
            </w:r>
          </w:p>
          <w:p>
            <w:pPr>
              <w:pStyle w:val="null3"/>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、质量：单片防刺层重量（含防刺层保护套）：</w:t>
            </w:r>
            <w:r>
              <w:rPr>
                <w:rFonts w:ascii="宋体" w:hAnsi="宋体" w:cs="宋体" w:eastAsia="宋体"/>
                <w:sz w:val="21"/>
              </w:rPr>
              <w:t>≤0.65kg，防刺服总质量：≤1.46kg；</w:t>
            </w:r>
            <w:r>
              <w:rPr/>
              <w:t xml:space="preserve"> </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、厚度：单片防刺层厚度（含防刺层保护套）：</w:t>
            </w:r>
            <w:r>
              <w:rPr>
                <w:rFonts w:ascii="宋体" w:hAnsi="宋体" w:cs="宋体" w:eastAsia="宋体"/>
                <w:sz w:val="21"/>
              </w:rPr>
              <w:t>≤1.1mm，防刺服总厚度：≤3.2mm；</w:t>
            </w:r>
            <w:r>
              <w:rPr/>
              <w:t xml:space="preserve"> </w:t>
            </w:r>
          </w:p>
          <w:p>
            <w:pPr>
              <w:pStyle w:val="null3"/>
              <w:jc w:val="left"/>
            </w:pPr>
            <w:r>
              <w:rPr>
                <w:rFonts w:ascii="宋体" w:hAnsi="宋体" w:cs="宋体" w:eastAsia="宋体"/>
                <w:sz w:val="21"/>
              </w:rPr>
              <w:t>▲</w:t>
            </w:r>
            <w:r>
              <w:rPr>
                <w:rFonts w:ascii="宋体" w:hAnsi="宋体" w:cs="宋体" w:eastAsia="宋体"/>
                <w:sz w:val="21"/>
              </w:rPr>
              <w:t>8</w:t>
            </w:r>
            <w:r>
              <w:rPr>
                <w:rFonts w:ascii="宋体" w:hAnsi="宋体" w:cs="宋体" w:eastAsia="宋体"/>
                <w:sz w:val="21"/>
              </w:rPr>
              <w:t>、外套材质及性能：外套使用牛津布制作，柔软度：</w:t>
            </w:r>
            <w:r>
              <w:rPr>
                <w:rFonts w:ascii="宋体" w:hAnsi="宋体" w:cs="宋体" w:eastAsia="宋体"/>
                <w:sz w:val="21"/>
              </w:rPr>
              <w:t>≤28N；</w:t>
            </w:r>
            <w:r>
              <w:rPr/>
              <w:t xml:space="preserve"> </w:t>
            </w:r>
          </w:p>
          <w:p>
            <w:pPr>
              <w:pStyle w:val="null3"/>
              <w:jc w:val="left"/>
            </w:pPr>
            <w:r>
              <w:rPr>
                <w:rFonts w:ascii="宋体" w:hAnsi="宋体" w:cs="宋体" w:eastAsia="宋体"/>
                <w:sz w:val="21"/>
              </w:rPr>
              <w:t>9</w:t>
            </w:r>
            <w:r>
              <w:rPr>
                <w:rFonts w:ascii="宋体" w:hAnsi="宋体" w:cs="宋体" w:eastAsia="宋体"/>
                <w:sz w:val="21"/>
              </w:rPr>
              <w:t>、外套布料断裂强力：经向</w:t>
            </w:r>
            <w:r>
              <w:rPr>
                <w:rFonts w:ascii="宋体" w:hAnsi="宋体" w:cs="宋体" w:eastAsia="宋体"/>
                <w:sz w:val="21"/>
              </w:rPr>
              <w:t>≥2000N，纬向≥2000N；</w:t>
            </w:r>
          </w:p>
          <w:p>
            <w:pPr>
              <w:pStyle w:val="null3"/>
              <w:jc w:val="left"/>
            </w:pPr>
            <w:r>
              <w:rPr>
                <w:rFonts w:ascii="宋体" w:hAnsi="宋体" w:cs="宋体" w:eastAsia="宋体"/>
                <w:sz w:val="21"/>
              </w:rPr>
              <w:t>10</w:t>
            </w:r>
            <w:r>
              <w:rPr>
                <w:rFonts w:ascii="宋体" w:hAnsi="宋体" w:cs="宋体" w:eastAsia="宋体"/>
                <w:sz w:val="21"/>
              </w:rPr>
              <w:t>、外套布料撕破强力：经向</w:t>
            </w:r>
            <w:r>
              <w:rPr>
                <w:rFonts w:ascii="宋体" w:hAnsi="宋体" w:cs="宋体" w:eastAsia="宋体"/>
                <w:sz w:val="21"/>
              </w:rPr>
              <w:t>≥100N，纬向≥100N；</w:t>
            </w:r>
          </w:p>
          <w:p>
            <w:pPr>
              <w:pStyle w:val="null3"/>
              <w:jc w:val="left"/>
            </w:pPr>
            <w:r>
              <w:rPr>
                <w:rFonts w:ascii="宋体" w:hAnsi="宋体" w:cs="宋体" w:eastAsia="宋体"/>
                <w:sz w:val="21"/>
              </w:rPr>
              <w:t>▲</w:t>
            </w:r>
            <w:r>
              <w:rPr>
                <w:rFonts w:ascii="宋体" w:hAnsi="宋体" w:cs="宋体" w:eastAsia="宋体"/>
                <w:sz w:val="21"/>
              </w:rPr>
              <w:t>11</w:t>
            </w:r>
            <w:r>
              <w:rPr>
                <w:rFonts w:ascii="宋体" w:hAnsi="宋体" w:cs="宋体" w:eastAsia="宋体"/>
                <w:sz w:val="21"/>
              </w:rPr>
              <w:t>、外套布料色牢度：耐光、耐皂洗、耐摩擦、耐酸汗渍、耐碱汗渍、耐水渍色牢度均</w:t>
            </w:r>
            <w:r>
              <w:rPr>
                <w:rFonts w:ascii="宋体" w:hAnsi="宋体" w:cs="宋体" w:eastAsia="宋体"/>
                <w:sz w:val="21"/>
              </w:rPr>
              <w:t>≥4级。外套布料色牢度检验参照 GB/T 3920-2008《纺织品色牢度试验耐摩擦色牢度》、GB/T 3922-2013《纺织品色牢度试验耐汗渍色牢度》、GB/T 14576-2009《纺织品色牢度试验耐光、汗复合色牢度》、GB/T420-2009《纺织品色牢度试验颜料印染纺织品耐刷洗色牢度》；</w:t>
            </w:r>
            <w:r>
              <w:rPr/>
              <w:t xml:space="preserve"> </w:t>
            </w:r>
          </w:p>
          <w:p>
            <w:pPr>
              <w:pStyle w:val="null3"/>
              <w:jc w:val="left"/>
            </w:pPr>
            <w:r>
              <w:rPr>
                <w:rFonts w:ascii="宋体" w:hAnsi="宋体" w:cs="宋体" w:eastAsia="宋体"/>
                <w:sz w:val="21"/>
              </w:rPr>
              <w:t>▲1</w:t>
            </w:r>
            <w:r>
              <w:rPr>
                <w:rFonts w:ascii="宋体" w:hAnsi="宋体" w:cs="宋体" w:eastAsia="宋体"/>
                <w:sz w:val="21"/>
              </w:rPr>
              <w:t>2</w:t>
            </w:r>
            <w:r>
              <w:rPr>
                <w:rFonts w:ascii="宋体" w:hAnsi="宋体" w:cs="宋体" w:eastAsia="宋体"/>
                <w:sz w:val="21"/>
              </w:rPr>
              <w:t>、肩、腰部尼龙搭扣性能：肩、腰部采用尼龙搭扣带搭接，可调节肩、腰部尺寸；肩部尼龙搭扣带剥离强度</w:t>
            </w:r>
            <w:r>
              <w:rPr>
                <w:rFonts w:ascii="宋体" w:hAnsi="宋体" w:cs="宋体" w:eastAsia="宋体"/>
                <w:sz w:val="21"/>
              </w:rPr>
              <w:t>≥2.8 N/cm。腰部尼龙搭扣带抗疲劳性能（离合3000次后）：剥离强度≥3.8 N/cm；</w:t>
            </w:r>
            <w:r>
              <w:rPr/>
              <w:t xml:space="preserve"> </w:t>
            </w:r>
          </w:p>
          <w:p>
            <w:pPr>
              <w:pStyle w:val="null3"/>
              <w:jc w:val="both"/>
            </w:pPr>
            <w:r>
              <w:rPr>
                <w:rFonts w:ascii="宋体" w:hAnsi="宋体" w:cs="宋体" w:eastAsia="宋体"/>
                <w:b/>
                <w:sz w:val="21"/>
              </w:rPr>
              <w:t>注：</w:t>
            </w:r>
            <w:r>
              <w:rPr>
                <w:rFonts w:ascii="宋体" w:hAnsi="宋体" w:cs="宋体" w:eastAsia="宋体"/>
                <w:b/>
                <w:sz w:val="21"/>
              </w:rPr>
              <w:t>“▲”号参数投标时</w:t>
            </w:r>
            <w:r>
              <w:rPr>
                <w:rFonts w:ascii="宋体" w:hAnsi="宋体" w:cs="宋体" w:eastAsia="宋体"/>
                <w:b/>
                <w:sz w:val="21"/>
              </w:rPr>
              <w:t>响应</w:t>
            </w:r>
            <w:r>
              <w:rPr>
                <w:rFonts w:ascii="宋体" w:hAnsi="宋体" w:cs="宋体" w:eastAsia="宋体"/>
                <w:b/>
                <w:sz w:val="21"/>
              </w:rPr>
              <w:t>，验收时提供国家认可的第三方检测机构出具的检测报告原件或复印件。</w:t>
            </w:r>
          </w:p>
        </w:tc>
      </w:tr>
    </w:tbl>
    <w:p>
      <w:pPr>
        <w:pStyle w:val="null3"/>
        <w:jc w:val="left"/>
      </w:pPr>
      <w:r>
        <w:rPr/>
        <w:t>标的名称：防弹头盔(轻)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★1、防护范围及级别要求：符合《GA 293-2012警用防弹头盔及面罩》中2级非金属防弹头盔的有关要求</w:t>
            </w:r>
            <w:r>
              <w:rPr>
                <w:rFonts w:ascii="宋体" w:hAnsi="宋体" w:cs="宋体" w:eastAsia="宋体"/>
                <w:sz w:val="21"/>
              </w:rPr>
              <w:t>；</w:t>
            </w:r>
            <w:r>
              <w:rPr>
                <w:rFonts w:ascii="宋体" w:hAnsi="宋体" w:cs="宋体" w:eastAsia="宋体"/>
                <w:b/>
                <w:sz w:val="21"/>
              </w:rPr>
              <w:t>（投标时提供国家认可的第三方检测机构出具的检测报告扫描件）</w:t>
            </w:r>
          </w:p>
          <w:p>
            <w:pPr>
              <w:pStyle w:val="null3"/>
              <w:jc w:val="left"/>
            </w:pPr>
            <w:r>
              <w:rPr>
                <w:rFonts w:ascii="宋体" w:hAnsi="宋体" w:cs="宋体" w:eastAsia="宋体"/>
                <w:sz w:val="21"/>
              </w:rPr>
              <w:t>★2、</w:t>
            </w:r>
            <w:r>
              <w:rPr>
                <w:rFonts w:ascii="宋体" w:hAnsi="宋体" w:cs="宋体" w:eastAsia="宋体"/>
                <w:sz w:val="21"/>
              </w:rPr>
              <w:t>产品</w:t>
            </w:r>
            <w:r>
              <w:rPr>
                <w:rFonts w:ascii="宋体" w:hAnsi="宋体" w:cs="宋体" w:eastAsia="宋体"/>
                <w:sz w:val="21"/>
              </w:rPr>
              <w:t>结构：由盔壳（含包边）和悬挂缓冲系统（含帽箍、缓冲层、下颏带、连接件等）等组成</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、盔壳外表面涂层应均匀平滑，无外来杂质、起泡、脱皮、剥落等缺陷；</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、悬挂缓冲系统组件应完整、缝合牢固；所有金属件应无锈蚀；紧急脱扣；下颏带和帽箍应能调节；</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、盔壳包边应符合规定，头盔上应有清晰永久性的产品标志，内容包括：制造厂中文名称或商标；产品名称和代号；产品编号；执行标准号；生产日期，有效期</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、下颏带紧急脱扣的牢固度应大于</w:t>
            </w:r>
            <w:r>
              <w:rPr>
                <w:rFonts w:ascii="宋体" w:hAnsi="宋体" w:cs="宋体" w:eastAsia="宋体"/>
                <w:sz w:val="21"/>
              </w:rPr>
              <w:t>500N，在外力大于1000N时应解脱或断裂；</w:t>
            </w:r>
          </w:p>
          <w:p>
            <w:pPr>
              <w:pStyle w:val="null3"/>
              <w:jc w:val="left"/>
            </w:pPr>
            <w:r>
              <w:rPr>
                <w:rFonts w:ascii="宋体" w:hAnsi="宋体" w:cs="宋体" w:eastAsia="宋体"/>
                <w:sz w:val="21"/>
              </w:rPr>
              <w:t>★7、供应商须为提供的产品购买商业责任保险，保额≥1000万元，采购人正常使用供应商产品造成第三者伤残或死亡情况，由供应商负责理赔。</w:t>
            </w:r>
            <w:r>
              <w:rPr>
                <w:rFonts w:ascii="宋体" w:hAnsi="宋体" w:cs="宋体" w:eastAsia="宋体"/>
                <w:b/>
                <w:sz w:val="21"/>
              </w:rPr>
              <w:t>（投标时提供承诺函并加盖投标人公章，签订合同前为产品购买商业责任保险并提供保险单，保险单以保险公司合同为准）</w:t>
            </w:r>
          </w:p>
          <w:p>
            <w:pPr>
              <w:pStyle w:val="null3"/>
              <w:jc w:val="left"/>
            </w:pPr>
            <w:r>
              <w:rPr>
                <w:rFonts w:ascii="宋体" w:hAnsi="宋体" w:cs="宋体" w:eastAsia="宋体"/>
                <w:sz w:val="21"/>
              </w:rPr>
              <w:t>★8、产品生产日期应为2024年1月1日及之后；</w:t>
            </w:r>
          </w:p>
          <w:p>
            <w:pPr>
              <w:pStyle w:val="null3"/>
              <w:jc w:val="left"/>
            </w:pPr>
            <w:r>
              <w:rPr>
                <w:rFonts w:ascii="宋体" w:hAnsi="宋体" w:cs="宋体" w:eastAsia="宋体"/>
                <w:b/>
                <w:sz w:val="21"/>
              </w:rPr>
              <w:t>注：</w:t>
            </w:r>
            <w:r>
              <w:rPr>
                <w:rFonts w:ascii="宋体" w:hAnsi="宋体" w:cs="宋体" w:eastAsia="宋体"/>
                <w:b/>
                <w:sz w:val="21"/>
              </w:rPr>
              <w:t>第</w:t>
            </w:r>
            <w:r>
              <w:rPr>
                <w:rFonts w:ascii="宋体" w:hAnsi="宋体" w:cs="宋体" w:eastAsia="宋体"/>
                <w:b/>
                <w:sz w:val="21"/>
              </w:rPr>
              <w:t>2项～第6项“</w:t>
            </w:r>
            <w:r>
              <w:rPr>
                <w:rFonts w:ascii="宋体" w:hAnsi="宋体" w:cs="宋体" w:eastAsia="宋体"/>
                <w:sz w:val="21"/>
              </w:rPr>
              <w:t>★</w:t>
            </w:r>
            <w:r>
              <w:rPr>
                <w:rFonts w:ascii="宋体" w:hAnsi="宋体" w:cs="宋体" w:eastAsia="宋体"/>
                <w:b/>
                <w:sz w:val="21"/>
              </w:rPr>
              <w:t>”号参数，</w:t>
            </w:r>
            <w:r>
              <w:rPr>
                <w:rFonts w:ascii="宋体" w:hAnsi="宋体" w:cs="宋体" w:eastAsia="宋体"/>
                <w:b/>
                <w:sz w:val="21"/>
              </w:rPr>
              <w:t>投标时提供承诺函，验收时提供国家认可的第三方检测机构出具的检测报告原件或复印件</w:t>
            </w:r>
            <w:r>
              <w:rPr>
                <w:rFonts w:ascii="宋体" w:hAnsi="宋体" w:cs="宋体" w:eastAsia="宋体"/>
                <w:b/>
                <w:sz w:val="21"/>
              </w:rPr>
              <w:t>。</w:t>
            </w:r>
          </w:p>
          <w:p>
            <w:pPr>
              <w:pStyle w:val="null3"/>
              <w:jc w:val="left"/>
            </w:pPr>
            <w:r>
              <w:rPr>
                <w:rFonts w:ascii="宋体" w:hAnsi="宋体" w:cs="宋体" w:eastAsia="宋体"/>
                <w:sz w:val="21"/>
              </w:rPr>
              <w:t>▲</w:t>
            </w:r>
            <w:r>
              <w:rPr>
                <w:rFonts w:ascii="宋体" w:hAnsi="宋体" w:cs="宋体" w:eastAsia="宋体"/>
                <w:sz w:val="21"/>
              </w:rPr>
              <w:t>9</w:t>
            </w:r>
            <w:r>
              <w:rPr>
                <w:rFonts w:ascii="宋体" w:hAnsi="宋体" w:cs="宋体" w:eastAsia="宋体"/>
                <w:sz w:val="21"/>
              </w:rPr>
              <w:t>、主要性能要求：</w:t>
            </w:r>
            <w:r>
              <w:rPr>
                <w:rFonts w:ascii="宋体" w:hAnsi="宋体" w:cs="宋体" w:eastAsia="宋体"/>
                <w:b/>
                <w:sz w:val="21"/>
              </w:rPr>
              <w:t>（</w:t>
            </w:r>
            <w:r>
              <w:rPr>
                <w:rFonts w:ascii="宋体" w:hAnsi="宋体" w:cs="宋体" w:eastAsia="宋体"/>
                <w:b/>
                <w:sz w:val="21"/>
              </w:rPr>
              <w:t>投标时</w:t>
            </w:r>
            <w:r>
              <w:rPr>
                <w:rFonts w:ascii="宋体" w:hAnsi="宋体" w:cs="宋体" w:eastAsia="宋体"/>
                <w:b/>
                <w:sz w:val="21"/>
              </w:rPr>
              <w:t>响应，</w:t>
            </w:r>
            <w:r>
              <w:rPr>
                <w:rFonts w:ascii="宋体" w:hAnsi="宋体" w:cs="宋体" w:eastAsia="宋体"/>
                <w:b/>
                <w:sz w:val="21"/>
              </w:rPr>
              <w:t>验收时提供国家认可的第三方检测机构出具的检测报告原件或复印件</w:t>
            </w:r>
            <w:r>
              <w:rPr>
                <w:rFonts w:ascii="宋体" w:hAnsi="宋体" w:cs="宋体" w:eastAsia="宋体"/>
                <w:b/>
                <w:sz w:val="21"/>
              </w:rPr>
              <w:t>）</w:t>
            </w:r>
          </w:p>
          <w:p>
            <w:pPr>
              <w:pStyle w:val="null3"/>
              <w:jc w:val="left"/>
            </w:pPr>
            <w:r>
              <w:rPr>
                <w:rFonts w:ascii="宋体" w:hAnsi="宋体" w:cs="宋体" w:eastAsia="宋体"/>
                <w:sz w:val="21"/>
              </w:rPr>
              <w:t>9</w:t>
            </w:r>
            <w:r>
              <w:rPr>
                <w:rFonts w:ascii="宋体" w:hAnsi="宋体" w:cs="宋体" w:eastAsia="宋体"/>
                <w:sz w:val="21"/>
              </w:rPr>
              <w:t>.1、盔壳阻燃性能：盔壳的外表面续燃时间＜5s，无穿透现象；</w:t>
            </w:r>
            <w:r>
              <w:rPr/>
              <w:t xml:space="preserve"> </w:t>
            </w:r>
          </w:p>
          <w:p>
            <w:pPr>
              <w:pStyle w:val="null3"/>
              <w:jc w:val="left"/>
            </w:pPr>
            <w:r>
              <w:rPr>
                <w:rFonts w:ascii="宋体" w:hAnsi="宋体" w:cs="宋体" w:eastAsia="宋体"/>
                <w:sz w:val="21"/>
              </w:rPr>
              <w:t>9</w:t>
            </w:r>
            <w:r>
              <w:rPr>
                <w:rFonts w:ascii="宋体" w:hAnsi="宋体" w:cs="宋体" w:eastAsia="宋体"/>
                <w:sz w:val="21"/>
              </w:rPr>
              <w:t>.2、侧向刚性方面盔壳最大变形量≤6.0mm，残余变形量≤1.1mm；</w:t>
            </w:r>
            <w:r>
              <w:rPr/>
              <w:t xml:space="preserve"> </w:t>
            </w:r>
          </w:p>
          <w:p>
            <w:pPr>
              <w:pStyle w:val="null3"/>
              <w:jc w:val="left"/>
            </w:pPr>
            <w:r>
              <w:rPr>
                <w:rFonts w:ascii="宋体" w:hAnsi="宋体" w:cs="宋体" w:eastAsia="宋体"/>
                <w:sz w:val="21"/>
              </w:rPr>
              <w:t>9</w:t>
            </w:r>
            <w:r>
              <w:rPr>
                <w:rFonts w:ascii="宋体" w:hAnsi="宋体" w:cs="宋体" w:eastAsia="宋体"/>
                <w:sz w:val="21"/>
              </w:rPr>
              <w:t>.3、耐浸水性能：浸入0.5m深室温水中24h后，在有效命中情况下头盔阻断弹头且首发弹着点的盔壳顶部弹痕高度≤7.0mm；</w:t>
            </w:r>
          </w:p>
          <w:p>
            <w:pPr>
              <w:pStyle w:val="null3"/>
              <w:jc w:val="left"/>
            </w:pPr>
            <w:r>
              <w:rPr>
                <w:rFonts w:ascii="宋体" w:hAnsi="宋体" w:cs="宋体" w:eastAsia="宋体"/>
                <w:sz w:val="21"/>
              </w:rPr>
              <w:t>9</w:t>
            </w:r>
            <w:r>
              <w:rPr>
                <w:rFonts w:ascii="宋体" w:hAnsi="宋体" w:cs="宋体" w:eastAsia="宋体"/>
                <w:sz w:val="21"/>
              </w:rPr>
              <w:t>.4、高温性能：受检样品在高温（+55℃±2℃，恒温3h）状态下使用79式7.62mm</w:t>
            </w:r>
            <w:r>
              <w:rPr>
                <w:rFonts w:ascii="宋体" w:hAnsi="宋体" w:cs="宋体" w:eastAsia="宋体"/>
                <w:sz w:val="21"/>
              </w:rPr>
              <w:t>微型</w:t>
            </w:r>
            <w:r>
              <w:rPr>
                <w:rFonts w:ascii="宋体" w:hAnsi="宋体" w:cs="宋体" w:eastAsia="宋体"/>
                <w:sz w:val="21"/>
              </w:rPr>
              <w:t>冲锋枪发射的</w:t>
            </w:r>
            <w:r>
              <w:rPr>
                <w:rFonts w:ascii="宋体" w:hAnsi="宋体" w:cs="宋体" w:eastAsia="宋体"/>
                <w:sz w:val="21"/>
              </w:rPr>
              <w:t>51式7.62mm手枪弹（铅心）在距离5M对防弹头盔进行枪击试验，有效击中前部的最大弹痕高度≤9.0mm；</w:t>
            </w:r>
          </w:p>
          <w:p>
            <w:pPr>
              <w:pStyle w:val="null3"/>
              <w:jc w:val="both"/>
            </w:pPr>
            <w:r>
              <w:rPr>
                <w:rFonts w:ascii="宋体" w:hAnsi="宋体" w:cs="宋体" w:eastAsia="宋体"/>
                <w:sz w:val="21"/>
              </w:rPr>
              <w:t>9</w:t>
            </w:r>
            <w:r>
              <w:rPr>
                <w:rFonts w:ascii="宋体" w:hAnsi="宋体" w:cs="宋体" w:eastAsia="宋体"/>
                <w:sz w:val="21"/>
              </w:rPr>
              <w:t>.5、低温测试：受检样品在低温（-25℃±2℃,恒温3h）状态下使用</w:t>
            </w:r>
            <w:r>
              <w:rPr>
                <w:rFonts w:ascii="宋体" w:hAnsi="宋体" w:cs="宋体" w:eastAsia="宋体"/>
                <w:sz w:val="21"/>
              </w:rPr>
              <w:t>79</w:t>
            </w:r>
            <w:r>
              <w:rPr>
                <w:rFonts w:ascii="宋体" w:hAnsi="宋体" w:cs="宋体" w:eastAsia="宋体"/>
                <w:sz w:val="21"/>
              </w:rPr>
              <w:t>式</w:t>
            </w:r>
            <w:r>
              <w:rPr>
                <w:rFonts w:ascii="宋体" w:hAnsi="宋体" w:cs="宋体" w:eastAsia="宋体"/>
                <w:sz w:val="21"/>
              </w:rPr>
              <w:t>7.62mm</w:t>
            </w:r>
            <w:r>
              <w:rPr>
                <w:rFonts w:ascii="宋体" w:hAnsi="宋体" w:cs="宋体" w:eastAsia="宋体"/>
                <w:sz w:val="21"/>
              </w:rPr>
              <w:t>微型</w:t>
            </w:r>
            <w:r>
              <w:rPr>
                <w:rFonts w:ascii="宋体" w:hAnsi="宋体" w:cs="宋体" w:eastAsia="宋体"/>
                <w:sz w:val="21"/>
              </w:rPr>
              <w:t>冲锋枪</w:t>
            </w:r>
            <w:r>
              <w:rPr>
                <w:rFonts w:ascii="宋体" w:hAnsi="宋体" w:cs="宋体" w:eastAsia="宋体"/>
                <w:sz w:val="21"/>
              </w:rPr>
              <w:t>发射</w:t>
            </w:r>
            <w:r>
              <w:rPr>
                <w:rFonts w:ascii="宋体" w:hAnsi="宋体" w:cs="宋体" w:eastAsia="宋体"/>
                <w:sz w:val="21"/>
              </w:rPr>
              <w:t>的</w:t>
            </w:r>
            <w:r>
              <w:rPr>
                <w:rFonts w:ascii="宋体" w:hAnsi="宋体" w:cs="宋体" w:eastAsia="宋体"/>
                <w:sz w:val="21"/>
              </w:rPr>
              <w:t>51式7.62mm手枪弹（铅心）对防弹头盔进行枪击试验，有效击中右部的最大弹痕高度≤8.0mm</w:t>
            </w:r>
            <w:r>
              <w:rPr>
                <w:rFonts w:ascii="宋体" w:hAnsi="宋体" w:cs="宋体" w:eastAsia="宋体"/>
                <w:sz w:val="21"/>
              </w:rPr>
              <w:t>。</w:t>
            </w:r>
          </w:p>
        </w:tc>
      </w:tr>
    </w:tbl>
    <w:p>
      <w:pPr>
        <w:pStyle w:val="null3"/>
        <w:jc w:val="left"/>
      </w:pPr>
      <w:r>
        <w:rPr/>
        <w:t>标的名称：法式小圆盾牌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★1、尺寸：φ580±20mm；</w:t>
            </w:r>
            <w:r>
              <w:rPr/>
              <w:t xml:space="preserve"> </w:t>
            </w:r>
          </w:p>
          <w:p>
            <w:pPr>
              <w:pStyle w:val="null3"/>
              <w:jc w:val="left"/>
            </w:pPr>
            <w:r>
              <w:rPr>
                <w:rFonts w:ascii="宋体" w:hAnsi="宋体" w:cs="宋体" w:eastAsia="宋体"/>
                <w:sz w:val="21"/>
              </w:rPr>
              <w:t>★2、质量：≤2.5Kg；</w:t>
            </w:r>
            <w:r>
              <w:rPr/>
              <w:t xml:space="preserve"> </w:t>
            </w:r>
          </w:p>
          <w:p>
            <w:pPr>
              <w:pStyle w:val="null3"/>
              <w:jc w:val="left"/>
            </w:pPr>
            <w:r>
              <w:rPr>
                <w:rFonts w:ascii="宋体" w:hAnsi="宋体" w:cs="宋体" w:eastAsia="宋体"/>
                <w:b/>
                <w:sz w:val="21"/>
              </w:rPr>
              <w:t>注：</w:t>
            </w:r>
            <w:r>
              <w:rPr>
                <w:rFonts w:ascii="宋体" w:hAnsi="宋体" w:cs="宋体" w:eastAsia="宋体"/>
                <w:b/>
                <w:sz w:val="21"/>
              </w:rPr>
              <w:t>第</w:t>
            </w:r>
            <w:r>
              <w:rPr>
                <w:rFonts w:ascii="宋体" w:hAnsi="宋体" w:cs="宋体" w:eastAsia="宋体"/>
                <w:b/>
                <w:sz w:val="21"/>
              </w:rPr>
              <w:t>1</w:t>
            </w:r>
            <w:r>
              <w:rPr>
                <w:rFonts w:ascii="宋体" w:hAnsi="宋体" w:cs="宋体" w:eastAsia="宋体"/>
                <w:b/>
                <w:sz w:val="21"/>
              </w:rPr>
              <w:t>项～第</w:t>
            </w:r>
            <w:r>
              <w:rPr>
                <w:rFonts w:ascii="宋体" w:hAnsi="宋体" w:cs="宋体" w:eastAsia="宋体"/>
                <w:b/>
                <w:sz w:val="21"/>
              </w:rPr>
              <w:t>2</w:t>
            </w:r>
            <w:r>
              <w:rPr>
                <w:rFonts w:ascii="宋体" w:hAnsi="宋体" w:cs="宋体" w:eastAsia="宋体"/>
                <w:b/>
                <w:sz w:val="21"/>
              </w:rPr>
              <w:t>项</w:t>
            </w:r>
            <w:r>
              <w:rPr>
                <w:rFonts w:ascii="宋体" w:hAnsi="宋体" w:cs="宋体" w:eastAsia="宋体"/>
                <w:b/>
                <w:sz w:val="21"/>
              </w:rPr>
              <w:t>“</w:t>
            </w:r>
            <w:r>
              <w:rPr>
                <w:rFonts w:ascii="宋体" w:hAnsi="宋体" w:cs="宋体" w:eastAsia="宋体"/>
                <w:sz w:val="21"/>
              </w:rPr>
              <w:t>★</w:t>
            </w:r>
            <w:r>
              <w:rPr>
                <w:rFonts w:ascii="宋体" w:hAnsi="宋体" w:cs="宋体" w:eastAsia="宋体"/>
                <w:b/>
                <w:sz w:val="21"/>
              </w:rPr>
              <w:t>”号参数，</w:t>
            </w:r>
            <w:r>
              <w:rPr>
                <w:rFonts w:ascii="宋体" w:hAnsi="宋体" w:cs="宋体" w:eastAsia="宋体"/>
                <w:b/>
                <w:sz w:val="21"/>
              </w:rPr>
              <w:t>投标时提供承诺函，验收时提供国家认可的第三方检测机构出具的检测报告原件或复印件</w:t>
            </w:r>
            <w:r>
              <w:rPr>
                <w:rFonts w:ascii="宋体" w:hAnsi="宋体" w:cs="宋体" w:eastAsia="宋体"/>
                <w:b/>
                <w:sz w:val="21"/>
              </w:rPr>
              <w:t>。</w:t>
            </w:r>
          </w:p>
          <w:p>
            <w:pPr>
              <w:pStyle w:val="null3"/>
              <w:jc w:val="left"/>
            </w:pPr>
            <w:r>
              <w:rPr>
                <w:rFonts w:ascii="宋体" w:hAnsi="宋体" w:cs="宋体" w:eastAsia="宋体"/>
                <w:sz w:val="21"/>
              </w:rPr>
              <w:t>★</w:t>
            </w:r>
            <w:r>
              <w:rPr>
                <w:rFonts w:ascii="宋体" w:hAnsi="宋体" w:cs="宋体" w:eastAsia="宋体"/>
                <w:sz w:val="21"/>
              </w:rPr>
              <w:t>3、符合</w:t>
            </w:r>
            <w:r>
              <w:rPr>
                <w:rFonts w:ascii="宋体" w:hAnsi="宋体" w:cs="宋体" w:eastAsia="宋体"/>
                <w:sz w:val="21"/>
              </w:rPr>
              <w:t>《</w:t>
            </w:r>
            <w:r>
              <w:rPr>
                <w:rFonts w:ascii="宋体" w:hAnsi="宋体" w:cs="宋体" w:eastAsia="宋体"/>
                <w:sz w:val="21"/>
              </w:rPr>
              <w:t>GA 422-2019 警用防暴盾牌》中“5.8连接强度、</w:t>
            </w:r>
            <w:r>
              <w:rPr>
                <w:rFonts w:ascii="宋体" w:hAnsi="宋体" w:cs="宋体" w:eastAsia="宋体"/>
                <w:sz w:val="21"/>
              </w:rPr>
              <w:t>5</w:t>
            </w:r>
            <w:r>
              <w:rPr>
                <w:rFonts w:ascii="宋体" w:hAnsi="宋体" w:cs="宋体" w:eastAsia="宋体"/>
                <w:sz w:val="21"/>
              </w:rPr>
              <w:t>.9透光率</w:t>
            </w:r>
            <w:r>
              <w:rPr>
                <w:rFonts w:ascii="宋体" w:hAnsi="宋体" w:cs="宋体" w:eastAsia="宋体"/>
                <w:sz w:val="21"/>
              </w:rPr>
              <w:t>、</w:t>
            </w:r>
            <w:r>
              <w:rPr>
                <w:rFonts w:ascii="宋体" w:hAnsi="宋体" w:cs="宋体" w:eastAsia="宋体"/>
                <w:sz w:val="21"/>
              </w:rPr>
              <w:t>5.10</w:t>
            </w:r>
            <w:r>
              <w:rPr>
                <w:rFonts w:ascii="宋体" w:hAnsi="宋体" w:cs="宋体" w:eastAsia="宋体"/>
                <w:sz w:val="21"/>
              </w:rPr>
              <w:t>耐冲击强度、</w:t>
            </w:r>
            <w:r>
              <w:rPr>
                <w:rFonts w:ascii="宋体" w:hAnsi="宋体" w:cs="宋体" w:eastAsia="宋体"/>
                <w:sz w:val="21"/>
              </w:rPr>
              <w:t>5.11</w:t>
            </w:r>
            <w:r>
              <w:rPr>
                <w:rFonts w:ascii="宋体" w:hAnsi="宋体" w:cs="宋体" w:eastAsia="宋体"/>
                <w:sz w:val="21"/>
              </w:rPr>
              <w:t>耐穿刺性能、</w:t>
            </w:r>
            <w:r>
              <w:rPr>
                <w:rFonts w:ascii="宋体" w:hAnsi="宋体" w:cs="宋体" w:eastAsia="宋体"/>
                <w:sz w:val="21"/>
              </w:rPr>
              <w:t>5</w:t>
            </w:r>
            <w:r>
              <w:rPr>
                <w:rFonts w:ascii="宋体" w:hAnsi="宋体" w:cs="宋体" w:eastAsia="宋体"/>
                <w:sz w:val="21"/>
              </w:rPr>
              <w:t>.12</w:t>
            </w:r>
            <w:r>
              <w:rPr>
                <w:rFonts w:ascii="宋体" w:hAnsi="宋体" w:cs="宋体" w:eastAsia="宋体"/>
                <w:sz w:val="21"/>
              </w:rPr>
              <w:t>耐击打强度、</w:t>
            </w:r>
            <w:r>
              <w:rPr>
                <w:rFonts w:ascii="宋体" w:hAnsi="宋体" w:cs="宋体" w:eastAsia="宋体"/>
                <w:sz w:val="21"/>
              </w:rPr>
              <w:t>5</w:t>
            </w:r>
            <w:r>
              <w:rPr>
                <w:rFonts w:ascii="宋体" w:hAnsi="宋体" w:cs="宋体" w:eastAsia="宋体"/>
                <w:sz w:val="21"/>
              </w:rPr>
              <w:t>.13</w:t>
            </w:r>
            <w:r>
              <w:rPr>
                <w:rFonts w:ascii="宋体" w:hAnsi="宋体" w:cs="宋体" w:eastAsia="宋体"/>
                <w:sz w:val="21"/>
              </w:rPr>
              <w:t>耐刀砍性能、</w:t>
            </w:r>
            <w:r>
              <w:rPr>
                <w:rFonts w:ascii="宋体" w:hAnsi="宋体" w:cs="宋体" w:eastAsia="宋体"/>
                <w:sz w:val="21"/>
              </w:rPr>
              <w:t>5</w:t>
            </w:r>
            <w:r>
              <w:rPr>
                <w:rFonts w:ascii="宋体" w:hAnsi="宋体" w:cs="宋体" w:eastAsia="宋体"/>
                <w:sz w:val="21"/>
              </w:rPr>
              <w:t>.15</w:t>
            </w:r>
            <w:r>
              <w:rPr>
                <w:rFonts w:ascii="宋体" w:hAnsi="宋体" w:cs="宋体" w:eastAsia="宋体"/>
                <w:sz w:val="21"/>
              </w:rPr>
              <w:t>阻燃性能、</w:t>
            </w:r>
            <w:r>
              <w:rPr>
                <w:rFonts w:ascii="宋体" w:hAnsi="宋体" w:cs="宋体" w:eastAsia="宋体"/>
                <w:sz w:val="21"/>
              </w:rPr>
              <w:t>5.16</w:t>
            </w:r>
            <w:r>
              <w:rPr>
                <w:rFonts w:ascii="宋体" w:hAnsi="宋体" w:cs="宋体" w:eastAsia="宋体"/>
                <w:sz w:val="21"/>
              </w:rPr>
              <w:t>温度适应性</w:t>
            </w:r>
            <w:r>
              <w:rPr>
                <w:rFonts w:ascii="宋体" w:hAnsi="宋体" w:cs="宋体" w:eastAsia="宋体"/>
                <w:sz w:val="21"/>
              </w:rPr>
              <w:t>”</w:t>
            </w:r>
            <w:r>
              <w:rPr>
                <w:rFonts w:ascii="宋体" w:hAnsi="宋体" w:cs="宋体" w:eastAsia="宋体"/>
                <w:sz w:val="21"/>
              </w:rPr>
              <w:t>有关要求；</w:t>
            </w:r>
            <w:r>
              <w:rPr>
                <w:rFonts w:ascii="宋体" w:hAnsi="宋体" w:cs="宋体" w:eastAsia="宋体"/>
                <w:b/>
                <w:sz w:val="21"/>
              </w:rPr>
              <w:t>（投标时提供国家认可的第三方检测机构出具的检测报告扫描件）</w:t>
            </w:r>
          </w:p>
          <w:p>
            <w:pPr>
              <w:pStyle w:val="null3"/>
              <w:jc w:val="left"/>
            </w:pPr>
            <w:r>
              <w:rPr>
                <w:rFonts w:ascii="宋体" w:hAnsi="宋体" w:cs="宋体" w:eastAsia="宋体"/>
                <w:sz w:val="21"/>
              </w:rPr>
              <w:t>★4、产品生产日期应为2024年1月1日及之后；</w:t>
            </w:r>
          </w:p>
          <w:p>
            <w:pPr>
              <w:pStyle w:val="null3"/>
              <w:jc w:val="left"/>
            </w:pPr>
            <w:r>
              <w:rPr>
                <w:rFonts w:ascii="宋体" w:hAnsi="宋体" w:cs="宋体" w:eastAsia="宋体"/>
                <w:sz w:val="21"/>
              </w:rPr>
              <w:t>5</w:t>
            </w:r>
            <w:r>
              <w:rPr>
                <w:rFonts w:ascii="宋体" w:hAnsi="宋体" w:cs="宋体" w:eastAsia="宋体"/>
                <w:sz w:val="21"/>
              </w:rPr>
              <w:t>、主要性能要求：</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.1、透光率：≥85%；</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.2、握持装置的连接部件、握持装置与盾体的连接部件应能承受≥1200N的拉力，臂带与盾体的连接部件应能承受≥1000N的拉力；</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.3、盾牌应能承受300J动能的冲击，冲击后受力点不应有穿洞或在受力点半径50mm 之外出现贯穿性开裂；</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.4、防暴盾牌应能承受174J动能的穿刺,穿刺后受力点不应有直径大于6mm穿洞或在受力点半径20mm之外出现贯穿性开裂；</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.5、防暴盾牌应能承受能量为400J±13J的击打,击打后盾体不应破碎或出现长度大于50mm的贯穿性开裂,击打后盾体产生的最大陷深度应≤30mm；</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.6、防暴盾牌的上边沿应能抵御能量为200J±5J的击砍，试验后刀砍痕迹深度应≤35mm；</w:t>
            </w:r>
          </w:p>
          <w:p>
            <w:pPr>
              <w:pStyle w:val="null3"/>
              <w:jc w:val="left"/>
            </w:pPr>
            <w:r>
              <w:rPr>
                <w:rFonts w:ascii="宋体" w:hAnsi="宋体" w:cs="宋体" w:eastAsia="宋体"/>
                <w:sz w:val="21"/>
              </w:rPr>
              <w:t>5</w:t>
            </w:r>
            <w:r>
              <w:rPr>
                <w:rFonts w:ascii="宋体" w:hAnsi="宋体" w:cs="宋体" w:eastAsia="宋体"/>
                <w:sz w:val="21"/>
              </w:rPr>
              <w:t>.7、防暴盾牌的盾体应能承受1g铅弹以150m/s±10m/s速度冲击，冲击后盾牌不应被击穿或破碎；</w:t>
            </w:r>
          </w:p>
          <w:p>
            <w:pPr>
              <w:pStyle w:val="null3"/>
              <w:jc w:val="left"/>
            </w:pPr>
            <w:r>
              <w:rPr>
                <w:rFonts w:ascii="宋体" w:hAnsi="宋体" w:cs="宋体" w:eastAsia="宋体"/>
                <w:sz w:val="21"/>
              </w:rPr>
              <w:t>5</w:t>
            </w:r>
            <w:r>
              <w:rPr>
                <w:rFonts w:ascii="宋体" w:hAnsi="宋体" w:cs="宋体" w:eastAsia="宋体"/>
                <w:sz w:val="21"/>
              </w:rPr>
              <w:t>.8、盾体应能承受总质量为9.5吨的载重汽车左侧车轮前进碾压1次（速度不超过20km/h),试验后产品不应破碎；</w:t>
            </w:r>
          </w:p>
          <w:p>
            <w:pPr>
              <w:pStyle w:val="null3"/>
              <w:jc w:val="left"/>
            </w:pPr>
            <w:r>
              <w:rPr>
                <w:rFonts w:ascii="宋体" w:hAnsi="宋体" w:cs="宋体" w:eastAsia="宋体"/>
                <w:sz w:val="21"/>
              </w:rPr>
              <w:t>5</w:t>
            </w:r>
            <w:r>
              <w:rPr>
                <w:rFonts w:ascii="宋体" w:hAnsi="宋体" w:cs="宋体" w:eastAsia="宋体"/>
                <w:sz w:val="21"/>
              </w:rPr>
              <w:t>.9、防暴盾牌的盾体外表面续燃时间应≤1s；</w:t>
            </w:r>
          </w:p>
          <w:p>
            <w:pPr>
              <w:pStyle w:val="null3"/>
              <w:jc w:val="both"/>
            </w:pPr>
            <w:r>
              <w:rPr>
                <w:rFonts w:ascii="宋体" w:hAnsi="宋体" w:cs="宋体" w:eastAsia="宋体"/>
                <w:b/>
                <w:sz w:val="21"/>
              </w:rPr>
              <w:t>注：</w:t>
            </w:r>
            <w:r>
              <w:rPr>
                <w:rFonts w:ascii="calibri" w:hAnsi="calibri" w:cs="calibri" w:eastAsia="calibri"/>
                <w:b/>
                <w:sz w:val="21"/>
              </w:rPr>
              <w:t>“▲”</w:t>
            </w:r>
            <w:r>
              <w:rPr>
                <w:rFonts w:ascii="宋体" w:hAnsi="宋体" w:cs="宋体" w:eastAsia="宋体"/>
                <w:b/>
                <w:sz w:val="21"/>
              </w:rPr>
              <w:t>号参数投标时响应，验收时提供国家认可的第三方检测机构出具的检测报告原件或复印件。</w:t>
            </w:r>
          </w:p>
          <w:p>
            <w:pPr>
              <w:pStyle w:val="null3"/>
              <w:jc w:val="left"/>
            </w:pPr>
          </w:p>
        </w:tc>
      </w:tr>
    </w:tbl>
    <w:p>
      <w:pPr>
        <w:pStyle w:val="null3"/>
        <w:jc w:val="left"/>
      </w:pPr>
      <w:r>
        <w:rPr/>
        <w:t>标的名称：防砍护臂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1、产品所用材料应无毒，对人体无自然伤害；</w:t>
            </w:r>
          </w:p>
          <w:p>
            <w:pPr>
              <w:pStyle w:val="null3"/>
              <w:jc w:val="left"/>
            </w:pPr>
            <w:r>
              <w:rPr>
                <w:rFonts w:ascii="宋体" w:hAnsi="宋体" w:cs="宋体" w:eastAsia="宋体"/>
                <w:sz w:val="21"/>
              </w:rPr>
              <w:t>2、产品护肘部分穿着后应不影响四肢的自由运动，对人体的跪、跳、蹲、跑、俯仰、转体等动作应没有明显限制；</w:t>
            </w:r>
          </w:p>
          <w:p>
            <w:pPr>
              <w:pStyle w:val="null3"/>
              <w:jc w:val="left"/>
            </w:pPr>
            <w:r>
              <w:rPr>
                <w:rFonts w:ascii="宋体" w:hAnsi="宋体" w:cs="宋体" w:eastAsia="宋体"/>
                <w:sz w:val="21"/>
              </w:rPr>
              <w:t>3、安全性：有效防护面积：上肢≥0.18㎡；</w:t>
            </w:r>
          </w:p>
          <w:p>
            <w:pPr>
              <w:pStyle w:val="null3"/>
              <w:jc w:val="left"/>
            </w:pPr>
            <w:r>
              <w:rPr>
                <w:rFonts w:ascii="宋体" w:hAnsi="宋体" w:cs="宋体" w:eastAsia="宋体"/>
                <w:sz w:val="21"/>
              </w:rPr>
              <w:t>4、结构连接强度：尼龙搭扣合强度＞7.0N/c㎡,连接带强度＞2000N；</w:t>
            </w:r>
          </w:p>
          <w:p>
            <w:pPr>
              <w:pStyle w:val="null3"/>
              <w:jc w:val="left"/>
            </w:pPr>
            <w:r>
              <w:rPr>
                <w:rFonts w:ascii="宋体" w:hAnsi="宋体" w:cs="宋体" w:eastAsia="宋体"/>
                <w:sz w:val="21"/>
              </w:rPr>
              <w:t>5、可靠性：耐冲击性能：将产品置于刚性平面上，以120J能量冲击，相应部件不破损、不开裂；</w:t>
            </w:r>
          </w:p>
          <w:p>
            <w:pPr>
              <w:pStyle w:val="null3"/>
              <w:jc w:val="both"/>
            </w:pPr>
            <w:r>
              <w:rPr>
                <w:rFonts w:ascii="宋体" w:hAnsi="宋体" w:cs="宋体" w:eastAsia="宋体"/>
                <w:sz w:val="21"/>
              </w:rPr>
              <w:t>6、阻燃性能：防护部件表面燃烧后的续燃时间＜10s。</w:t>
            </w:r>
          </w:p>
        </w:tc>
      </w:tr>
    </w:tbl>
    <w:p>
      <w:pPr>
        <w:pStyle w:val="null3"/>
        <w:jc w:val="left"/>
      </w:pPr>
      <w:r>
        <w:rPr/>
        <w:t>标的名称：防弹衣(轻)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、防护等级：</w:t>
            </w:r>
            <w:r>
              <w:rPr>
                <w:rFonts w:ascii="宋体" w:hAnsi="宋体" w:cs="宋体" w:eastAsia="宋体"/>
                <w:sz w:val="21"/>
              </w:rPr>
              <w:t>≥3级[即能有效防护1979年式轻型冲锋枪发射的1951年式7.62mm手枪铅心弹]，符合《GA141-2010警用防弹衣》关于防护等级的相关要求；</w:t>
            </w:r>
            <w:r>
              <w:rPr>
                <w:rFonts w:ascii="宋体" w:hAnsi="宋体" w:cs="宋体" w:eastAsia="宋体"/>
                <w:b/>
                <w:sz w:val="21"/>
              </w:rPr>
              <w:t>（投标时提供国家认可的第三方检测机构出具的检测报告扫描件）</w:t>
            </w:r>
          </w:p>
          <w:p>
            <w:pPr>
              <w:pStyle w:val="null3"/>
              <w:jc w:val="left"/>
            </w:pPr>
            <w:r>
              <w:rPr>
                <w:rFonts w:ascii="宋体" w:hAnsi="宋体" w:cs="宋体" w:eastAsia="宋体"/>
                <w:sz w:val="21"/>
              </w:rPr>
              <w:t>★2、应商须为提供的产品购买商业责任保险，保额≥1000万元，采购人正常使用供应商产品造成第三者伤残或死亡情况，由供应商负责理赔。</w:t>
            </w:r>
            <w:r>
              <w:rPr>
                <w:rFonts w:ascii="宋体" w:hAnsi="宋体" w:cs="宋体" w:eastAsia="宋体"/>
                <w:b/>
                <w:sz w:val="21"/>
              </w:rPr>
              <w:t>（投标时提供承诺函并加盖投标人公章，签订合同前为产品购买商业责任保险并提供保险单，保险单以保险公司合同为准）</w:t>
            </w:r>
          </w:p>
          <w:p>
            <w:pPr>
              <w:pStyle w:val="null3"/>
              <w:jc w:val="left"/>
            </w:pPr>
            <w:r>
              <w:rPr>
                <w:rFonts w:ascii="宋体" w:hAnsi="宋体" w:cs="宋体" w:eastAsia="宋体"/>
                <w:sz w:val="21"/>
              </w:rPr>
              <w:t>★3、产品生产日期应为2024年1月1日及之后；</w:t>
            </w:r>
          </w:p>
          <w:p>
            <w:pPr>
              <w:pStyle w:val="null3"/>
              <w:jc w:val="left"/>
            </w:pPr>
            <w:r>
              <w:rPr>
                <w:rFonts w:ascii="宋体" w:hAnsi="宋体" w:cs="宋体" w:eastAsia="宋体"/>
                <w:sz w:val="21"/>
              </w:rPr>
              <w:t>4</w:t>
            </w:r>
            <w:r>
              <w:rPr>
                <w:rFonts w:ascii="宋体" w:hAnsi="宋体" w:cs="宋体" w:eastAsia="宋体"/>
                <w:sz w:val="21"/>
              </w:rPr>
              <w:t>、外套面料：阻燃尼龙面料；</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、外套性能：</w:t>
            </w:r>
            <w:r>
              <w:rPr/>
              <w:t xml:space="preserve"> </w:t>
            </w:r>
          </w:p>
          <w:p>
            <w:pPr>
              <w:pStyle w:val="null3"/>
              <w:jc w:val="left"/>
            </w:pPr>
            <w:r>
              <w:rPr>
                <w:rFonts w:ascii="宋体" w:hAnsi="宋体" w:cs="宋体" w:eastAsia="宋体"/>
                <w:sz w:val="21"/>
              </w:rPr>
              <w:t>5</w:t>
            </w:r>
            <w:r>
              <w:rPr>
                <w:rFonts w:ascii="宋体" w:hAnsi="宋体" w:cs="宋体" w:eastAsia="宋体"/>
                <w:sz w:val="21"/>
              </w:rPr>
              <w:t>.1、撕破强力：经≥3.3X10²N，纬≥3.2X10²N；</w:t>
            </w:r>
          </w:p>
          <w:p>
            <w:pPr>
              <w:pStyle w:val="null3"/>
              <w:jc w:val="left"/>
            </w:pPr>
            <w:r>
              <w:rPr>
                <w:rFonts w:ascii="宋体" w:hAnsi="宋体" w:cs="宋体" w:eastAsia="宋体"/>
                <w:sz w:val="21"/>
              </w:rPr>
              <w:t>5</w:t>
            </w:r>
            <w:r>
              <w:rPr>
                <w:rFonts w:ascii="宋体" w:hAnsi="宋体" w:cs="宋体" w:eastAsia="宋体"/>
                <w:sz w:val="21"/>
              </w:rPr>
              <w:t>.2、断裂强力：经≥3400N，纬≥3200N；</w:t>
            </w:r>
          </w:p>
          <w:p>
            <w:pPr>
              <w:pStyle w:val="null3"/>
              <w:jc w:val="left"/>
            </w:pPr>
            <w:r>
              <w:rPr>
                <w:rFonts w:ascii="宋体" w:hAnsi="宋体" w:cs="宋体" w:eastAsia="宋体"/>
                <w:sz w:val="21"/>
              </w:rPr>
              <w:t>5</w:t>
            </w:r>
            <w:r>
              <w:rPr>
                <w:rFonts w:ascii="宋体" w:hAnsi="宋体" w:cs="宋体" w:eastAsia="宋体"/>
                <w:sz w:val="21"/>
              </w:rPr>
              <w:t>.3、防水性能：≥5级；</w:t>
            </w:r>
          </w:p>
          <w:p>
            <w:pPr>
              <w:pStyle w:val="null3"/>
              <w:jc w:val="left"/>
            </w:pPr>
            <w:r>
              <w:rPr>
                <w:rFonts w:ascii="宋体" w:hAnsi="宋体" w:cs="宋体" w:eastAsia="宋体"/>
                <w:sz w:val="21"/>
              </w:rPr>
              <w:t>5</w:t>
            </w:r>
            <w:r>
              <w:rPr>
                <w:rFonts w:ascii="宋体" w:hAnsi="宋体" w:cs="宋体" w:eastAsia="宋体"/>
                <w:sz w:val="21"/>
              </w:rPr>
              <w:t>.4、耐光色牢度：≥6级；</w:t>
            </w:r>
          </w:p>
          <w:p>
            <w:pPr>
              <w:pStyle w:val="null3"/>
              <w:jc w:val="left"/>
            </w:pPr>
            <w:r>
              <w:rPr>
                <w:rFonts w:ascii="宋体" w:hAnsi="宋体" w:cs="宋体" w:eastAsia="宋体"/>
                <w:sz w:val="21"/>
              </w:rPr>
              <w:t>5</w:t>
            </w:r>
            <w:r>
              <w:rPr>
                <w:rFonts w:ascii="宋体" w:hAnsi="宋体" w:cs="宋体" w:eastAsia="宋体"/>
                <w:sz w:val="21"/>
              </w:rPr>
              <w:t>.5、阻燃性能：续燃时间0秒；损毁长度经向≤54mm，纬向≤59mm；燃烧特征：炭化、无滴落；</w:t>
            </w:r>
          </w:p>
          <w:p>
            <w:pPr>
              <w:pStyle w:val="null3"/>
              <w:jc w:val="left"/>
            </w:pPr>
            <w:r>
              <w:rPr>
                <w:rFonts w:ascii="宋体" w:hAnsi="宋体" w:cs="宋体" w:eastAsia="宋体"/>
                <w:sz w:val="21"/>
              </w:rPr>
              <w:t>6</w:t>
            </w:r>
            <w:r>
              <w:rPr>
                <w:rFonts w:ascii="宋体" w:hAnsi="宋体" w:cs="宋体" w:eastAsia="宋体"/>
                <w:sz w:val="21"/>
              </w:rPr>
              <w:t>、外套采用航空铝快拆肩扣；</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、肩扣可承受最大拉力</w:t>
            </w:r>
            <w:r>
              <w:rPr>
                <w:rFonts w:ascii="宋体" w:hAnsi="宋体" w:cs="宋体" w:eastAsia="宋体"/>
                <w:sz w:val="21"/>
              </w:rPr>
              <w:t>≥12KN；肩扣耐盐碱腐蚀性能：无腐蚀/生锈出现；</w:t>
            </w:r>
            <w:r>
              <w:rPr/>
              <w:t xml:space="preserve"> </w:t>
            </w:r>
          </w:p>
          <w:p>
            <w:pPr>
              <w:pStyle w:val="null3"/>
              <w:jc w:val="left"/>
            </w:pPr>
            <w:r>
              <w:rPr>
                <w:rFonts w:ascii="宋体" w:hAnsi="宋体" w:cs="宋体" w:eastAsia="宋体"/>
                <w:sz w:val="21"/>
              </w:rPr>
              <w:t>8</w:t>
            </w:r>
            <w:r>
              <w:rPr>
                <w:rFonts w:ascii="宋体" w:hAnsi="宋体" w:cs="宋体" w:eastAsia="宋体"/>
                <w:sz w:val="21"/>
              </w:rPr>
              <w:t>、防弹板材料：软质防弹材料</w:t>
            </w:r>
            <w:r>
              <w:rPr>
                <w:rFonts w:ascii="宋体" w:hAnsi="宋体" w:cs="宋体" w:eastAsia="宋体"/>
                <w:sz w:val="21"/>
              </w:rPr>
              <w:t>；</w:t>
            </w:r>
          </w:p>
          <w:p>
            <w:pPr>
              <w:pStyle w:val="null3"/>
              <w:jc w:val="left"/>
            </w:pPr>
            <w:r>
              <w:rPr>
                <w:rFonts w:ascii="宋体" w:hAnsi="宋体" w:cs="宋体" w:eastAsia="宋体"/>
                <w:sz w:val="21"/>
              </w:rPr>
              <w:t>9</w:t>
            </w:r>
            <w:r>
              <w:rPr>
                <w:rFonts w:ascii="宋体" w:hAnsi="宋体" w:cs="宋体" w:eastAsia="宋体"/>
                <w:sz w:val="21"/>
              </w:rPr>
              <w:t>、防弹衣整体重量：</w:t>
            </w:r>
            <w:r>
              <w:rPr>
                <w:rFonts w:ascii="宋体" w:hAnsi="宋体" w:cs="宋体" w:eastAsia="宋体"/>
                <w:sz w:val="21"/>
              </w:rPr>
              <w:t>≤2.6kg</w:t>
            </w:r>
            <w:r>
              <w:rPr>
                <w:rFonts w:ascii="宋体" w:hAnsi="宋体" w:cs="宋体" w:eastAsia="宋体"/>
                <w:sz w:val="21"/>
              </w:rPr>
              <w:t>。</w:t>
            </w:r>
          </w:p>
          <w:p>
            <w:pPr>
              <w:pStyle w:val="null3"/>
              <w:jc w:val="both"/>
            </w:pPr>
            <w:r>
              <w:rPr>
                <w:rFonts w:ascii="宋体" w:hAnsi="宋体" w:cs="宋体" w:eastAsia="宋体"/>
                <w:b/>
                <w:sz w:val="21"/>
              </w:rPr>
              <w:t>注：</w:t>
            </w:r>
            <w:r>
              <w:rPr>
                <w:rFonts w:ascii="宋体" w:hAnsi="宋体" w:cs="宋体" w:eastAsia="宋体"/>
                <w:b/>
                <w:sz w:val="21"/>
              </w:rPr>
              <w:t>“▲”号参数投标时响应，验收时提供国家认可的第三方检测机构出具的检测报告原件或复印件。</w:t>
            </w:r>
          </w:p>
        </w:tc>
      </w:tr>
    </w:tbl>
    <w:p>
      <w:pPr>
        <w:pStyle w:val="null3"/>
        <w:jc w:val="left"/>
      </w:pPr>
      <w:r>
        <w:rPr/>
        <w:t>标的名称：多功能攻防臂盾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1、臂盾上端设有弧形战术缺口，实战中可用于破窗、控制被控对象，也可作为视线口或枪支射击口；</w:t>
            </w:r>
          </w:p>
          <w:p>
            <w:pPr>
              <w:pStyle w:val="null3"/>
              <w:jc w:val="left"/>
            </w:pPr>
            <w:r>
              <w:rPr>
                <w:rFonts w:ascii="宋体" w:hAnsi="宋体" w:cs="宋体" w:eastAsia="宋体"/>
                <w:sz w:val="21"/>
              </w:rPr>
              <w:t>2、盾体采用≥3.5mm厚钢板（含涂覆层）制成，背面有握把和臂带，配有照明单元及破玻璃器；</w:t>
            </w:r>
          </w:p>
          <w:p>
            <w:pPr>
              <w:pStyle w:val="null3"/>
              <w:jc w:val="left"/>
            </w:pPr>
            <w:r>
              <w:rPr>
                <w:rFonts w:ascii="宋体" w:hAnsi="宋体" w:cs="宋体" w:eastAsia="宋体"/>
                <w:sz w:val="21"/>
              </w:rPr>
              <w:t>3、尺寸：≥680mm×300mm；</w:t>
            </w:r>
          </w:p>
          <w:p>
            <w:pPr>
              <w:pStyle w:val="null3"/>
              <w:jc w:val="left"/>
            </w:pPr>
            <w:r>
              <w:rPr>
                <w:rFonts w:ascii="宋体" w:hAnsi="宋体" w:cs="宋体" w:eastAsia="宋体"/>
                <w:sz w:val="21"/>
              </w:rPr>
              <w:t>4、握把直径：≤Φ35mm;</w:t>
            </w:r>
          </w:p>
          <w:p>
            <w:pPr>
              <w:pStyle w:val="null3"/>
              <w:jc w:val="left"/>
            </w:pPr>
            <w:r>
              <w:rPr>
                <w:rFonts w:ascii="宋体" w:hAnsi="宋体" w:cs="宋体" w:eastAsia="宋体"/>
                <w:sz w:val="21"/>
              </w:rPr>
              <w:t>▲5、重量：≤3kg；</w:t>
            </w:r>
          </w:p>
          <w:p>
            <w:pPr>
              <w:pStyle w:val="null3"/>
              <w:jc w:val="left"/>
            </w:pPr>
            <w:r>
              <w:rPr>
                <w:rFonts w:ascii="宋体" w:hAnsi="宋体" w:cs="宋体" w:eastAsia="宋体"/>
                <w:sz w:val="21"/>
              </w:rPr>
              <w:t>▲6、臂带的搭扣搭合好后，臂带与盾体间的连接能承受≥500N的拉力，保持1min，臂带未脱落，松动，脱扣或断裂；</w:t>
            </w:r>
          </w:p>
          <w:p>
            <w:pPr>
              <w:pStyle w:val="null3"/>
              <w:jc w:val="left"/>
            </w:pPr>
            <w:r>
              <w:rPr>
                <w:rFonts w:ascii="宋体" w:hAnsi="宋体" w:cs="宋体" w:eastAsia="宋体"/>
                <w:sz w:val="21"/>
              </w:rPr>
              <w:t>▲7、盾体承受147J动能的冲击未出现破裂；能承受击打点线速为18m/s±3m/s，能量为342J±13J，击打后未出现裂痕；</w:t>
            </w:r>
          </w:p>
          <w:p>
            <w:pPr>
              <w:pStyle w:val="null3"/>
              <w:jc w:val="left"/>
            </w:pPr>
            <w:r>
              <w:rPr>
                <w:rFonts w:ascii="宋体" w:hAnsi="宋体" w:cs="宋体" w:eastAsia="宋体"/>
                <w:sz w:val="21"/>
              </w:rPr>
              <w:t>8、产品功能：5m处光斑中心初始照度：≥152lx，能以常亮状态连续工作≥120min，碎玻璃器能击碎≥8mm厚玻璃。</w:t>
            </w:r>
          </w:p>
          <w:p>
            <w:pPr>
              <w:pStyle w:val="null3"/>
              <w:jc w:val="both"/>
            </w:pPr>
            <w:r>
              <w:rPr>
                <w:rFonts w:ascii="宋体" w:hAnsi="宋体" w:cs="宋体" w:eastAsia="宋体"/>
                <w:b/>
                <w:sz w:val="21"/>
              </w:rPr>
              <w:t>注：</w:t>
            </w:r>
            <w:r>
              <w:rPr>
                <w:rFonts w:ascii="宋体" w:hAnsi="宋体" w:cs="宋体" w:eastAsia="宋体"/>
                <w:b/>
                <w:sz w:val="21"/>
              </w:rPr>
              <w:t>“▲”号参数投标时响应，验收时提供国家认可的第三方检测机构出具的检测报告原件或复印件。</w:t>
            </w:r>
          </w:p>
        </w:tc>
      </w:tr>
    </w:tbl>
    <w:p>
      <w:pPr>
        <w:pStyle w:val="null3"/>
        <w:jc w:val="left"/>
      </w:pPr>
      <w:r>
        <w:rPr/>
        <w:t>标的名称：警用喊话器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1"/>
              </w:rPr>
              <w:t>1、功率：≥50W；</w:t>
            </w:r>
          </w:p>
          <w:p>
            <w:pPr>
              <w:pStyle w:val="null3"/>
              <w:jc w:val="both"/>
            </w:pPr>
            <w:r>
              <w:rPr>
                <w:rFonts w:ascii="宋体" w:hAnsi="宋体" w:cs="宋体" w:eastAsia="宋体"/>
                <w:sz w:val="21"/>
              </w:rPr>
              <w:t>2、材质：ABS；</w:t>
            </w:r>
          </w:p>
          <w:p>
            <w:pPr>
              <w:pStyle w:val="null3"/>
              <w:jc w:val="both"/>
            </w:pPr>
            <w:r>
              <w:rPr>
                <w:rFonts w:ascii="宋体" w:hAnsi="宋体" w:cs="宋体" w:eastAsia="宋体"/>
                <w:sz w:val="21"/>
              </w:rPr>
              <w:t>3、功能：喊话/扩音/播放音频；</w:t>
            </w:r>
          </w:p>
          <w:p>
            <w:pPr>
              <w:pStyle w:val="null3"/>
              <w:jc w:val="both"/>
            </w:pPr>
            <w:r>
              <w:rPr>
                <w:rFonts w:ascii="宋体" w:hAnsi="宋体" w:cs="宋体" w:eastAsia="宋体"/>
                <w:sz w:val="21"/>
              </w:rPr>
              <w:t>4、插槽接口：USB接口、TF卡插槽；</w:t>
            </w:r>
          </w:p>
          <w:p>
            <w:pPr>
              <w:pStyle w:val="null3"/>
              <w:jc w:val="both"/>
            </w:pPr>
            <w:r>
              <w:rPr>
                <w:rFonts w:ascii="宋体" w:hAnsi="宋体" w:cs="宋体" w:eastAsia="宋体"/>
                <w:sz w:val="21"/>
              </w:rPr>
              <w:t>5、电池容量：≥2500mAh；</w:t>
            </w:r>
          </w:p>
          <w:p>
            <w:pPr>
              <w:pStyle w:val="null3"/>
              <w:jc w:val="both"/>
            </w:pPr>
            <w:r>
              <w:rPr>
                <w:rFonts w:ascii="宋体" w:hAnsi="宋体" w:cs="宋体" w:eastAsia="宋体"/>
                <w:sz w:val="21"/>
              </w:rPr>
              <w:t>6、续航时间：≥24h；</w:t>
            </w:r>
          </w:p>
          <w:p>
            <w:pPr>
              <w:pStyle w:val="null3"/>
              <w:jc w:val="both"/>
            </w:pPr>
            <w:r>
              <w:rPr>
                <w:rFonts w:ascii="宋体" w:hAnsi="宋体" w:cs="宋体" w:eastAsia="宋体"/>
                <w:sz w:val="21"/>
              </w:rPr>
              <w:t>7、重量：≤1.5kg。</w:t>
            </w:r>
          </w:p>
        </w:tc>
      </w:tr>
    </w:tbl>
    <w:p>
      <w:pPr>
        <w:pStyle w:val="null3"/>
        <w:jc w:val="left"/>
      </w:pPr>
      <w:r>
        <w:rPr/>
        <w:t>标的名称：便携式阻车器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1、遥控速度：≥1次/秒；</w:t>
            </w:r>
          </w:p>
          <w:p>
            <w:pPr>
              <w:pStyle w:val="null3"/>
              <w:jc w:val="left"/>
            </w:pPr>
            <w:r>
              <w:rPr>
                <w:rFonts w:ascii="宋体" w:hAnsi="宋体" w:cs="宋体" w:eastAsia="宋体"/>
                <w:sz w:val="21"/>
              </w:rPr>
              <w:t>2、遥控器有效遥控距离：≥150m（空旷地带）；</w:t>
            </w:r>
          </w:p>
          <w:p>
            <w:pPr>
              <w:pStyle w:val="null3"/>
              <w:jc w:val="left"/>
            </w:pPr>
            <w:r>
              <w:rPr>
                <w:rFonts w:ascii="宋体" w:hAnsi="宋体" w:cs="宋体" w:eastAsia="宋体"/>
                <w:sz w:val="21"/>
              </w:rPr>
              <w:t>3、放气空心钢针：≥φ5mm×45mm；</w:t>
            </w:r>
          </w:p>
          <w:p>
            <w:pPr>
              <w:pStyle w:val="null3"/>
              <w:jc w:val="left"/>
            </w:pPr>
            <w:r>
              <w:rPr>
                <w:rFonts w:ascii="宋体" w:hAnsi="宋体" w:cs="宋体" w:eastAsia="宋体"/>
                <w:sz w:val="21"/>
              </w:rPr>
              <w:t>4、重量：≤25Kg；</w:t>
            </w:r>
          </w:p>
          <w:p>
            <w:pPr>
              <w:pStyle w:val="null3"/>
              <w:jc w:val="left"/>
            </w:pPr>
            <w:r>
              <w:rPr>
                <w:rFonts w:ascii="宋体" w:hAnsi="宋体" w:cs="宋体" w:eastAsia="宋体"/>
                <w:sz w:val="21"/>
              </w:rPr>
              <w:t>5、承重：≥20T；</w:t>
            </w:r>
          </w:p>
          <w:p>
            <w:pPr>
              <w:pStyle w:val="null3"/>
              <w:jc w:val="both"/>
            </w:pPr>
            <w:r>
              <w:rPr>
                <w:rFonts w:ascii="宋体" w:hAnsi="宋体" w:cs="宋体" w:eastAsia="宋体"/>
                <w:sz w:val="21"/>
              </w:rPr>
              <w:t>6、路障有效长度：≥6000长×240宽×30厚度（mm）</w:t>
            </w:r>
          </w:p>
        </w:tc>
      </w:tr>
    </w:tbl>
    <w:p>
      <w:pPr>
        <w:pStyle w:val="null3"/>
        <w:jc w:val="left"/>
      </w:pPr>
      <w:r>
        <w:rPr/>
        <w:t>标的名称：肩夹式执勤警灯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1、结构：由发光二极管（红蓝两种颜色）和白光灯、红光指示灯、背夹组成，具有1个充电接口和1个按键,由可充电电池供电；</w:t>
            </w:r>
          </w:p>
          <w:p>
            <w:pPr>
              <w:pStyle w:val="null3"/>
              <w:jc w:val="left"/>
            </w:pPr>
            <w:r>
              <w:rPr>
                <w:rFonts w:ascii="宋体" w:hAnsi="宋体" w:cs="宋体" w:eastAsia="宋体"/>
                <w:sz w:val="21"/>
              </w:rPr>
              <w:t>2、外观</w:t>
            </w:r>
            <w:r>
              <w:rPr>
                <w:rFonts w:ascii="宋体" w:hAnsi="宋体" w:cs="宋体" w:eastAsia="宋体"/>
                <w:sz w:val="21"/>
              </w:rPr>
              <w:t>：</w:t>
            </w:r>
            <w:r>
              <w:rPr>
                <w:rFonts w:ascii="宋体" w:hAnsi="宋体" w:cs="宋体" w:eastAsia="宋体"/>
                <w:sz w:val="21"/>
              </w:rPr>
              <w:t>表面不应有明显的凹痕、划伤、裂缝、变形和污渍；表面应色泽均匀，不应有起泡、龟裂、脱落和磨损现象；金属零部件不应有锈蚀；文字标识应清晰、完整；零部件应装配牢固，连接可靠；</w:t>
            </w:r>
          </w:p>
          <w:p>
            <w:pPr>
              <w:pStyle w:val="null3"/>
              <w:jc w:val="left"/>
            </w:pPr>
            <w:r>
              <w:rPr>
                <w:rFonts w:ascii="宋体" w:hAnsi="宋体" w:cs="宋体" w:eastAsia="宋体"/>
                <w:sz w:val="21"/>
              </w:rPr>
              <w:t>3、外壳防护等级：≥IP66；</w:t>
            </w:r>
          </w:p>
          <w:p>
            <w:pPr>
              <w:pStyle w:val="null3"/>
              <w:jc w:val="left"/>
            </w:pPr>
            <w:r>
              <w:rPr>
                <w:rFonts w:ascii="宋体" w:hAnsi="宋体" w:cs="宋体" w:eastAsia="宋体"/>
                <w:sz w:val="21"/>
              </w:rPr>
              <w:t>4、质量：≥55g；</w:t>
            </w:r>
          </w:p>
          <w:p>
            <w:pPr>
              <w:pStyle w:val="null3"/>
              <w:jc w:val="left"/>
            </w:pPr>
            <w:r>
              <w:rPr>
                <w:rFonts w:ascii="宋体" w:hAnsi="宋体" w:cs="宋体" w:eastAsia="宋体"/>
                <w:sz w:val="21"/>
              </w:rPr>
              <w:t>5、外形尺寸：≤81.5mm×35.2mm×19.5mm（长×宽×高）；</w:t>
            </w:r>
          </w:p>
          <w:p>
            <w:pPr>
              <w:pStyle w:val="null3"/>
              <w:jc w:val="left"/>
            </w:pPr>
            <w:r>
              <w:rPr>
                <w:rFonts w:ascii="宋体" w:hAnsi="宋体" w:cs="宋体" w:eastAsia="宋体"/>
                <w:sz w:val="21"/>
              </w:rPr>
              <w:t>▲6、主要功能及性能要求：</w:t>
            </w:r>
            <w:r>
              <w:rPr>
                <w:rFonts w:ascii="宋体" w:hAnsi="宋体" w:cs="宋体" w:eastAsia="宋体"/>
                <w:b/>
              </w:rPr>
              <w:t>（</w:t>
            </w:r>
            <w:r>
              <w:rPr>
                <w:rFonts w:ascii="宋体" w:hAnsi="宋体" w:cs="宋体" w:eastAsia="宋体"/>
                <w:b/>
                <w:sz w:val="21"/>
              </w:rPr>
              <w:t>投标时响应，验收时提供国家认可的第三方检测机构出具的检测报告原件或复印件</w:t>
            </w:r>
            <w:r>
              <w:rPr>
                <w:rFonts w:ascii="宋体" w:hAnsi="宋体" w:cs="宋体" w:eastAsia="宋体"/>
                <w:b/>
              </w:rPr>
              <w:t>）</w:t>
            </w:r>
          </w:p>
          <w:p>
            <w:pPr>
              <w:pStyle w:val="null3"/>
              <w:jc w:val="left"/>
            </w:pPr>
            <w:r>
              <w:rPr>
                <w:rFonts w:ascii="宋体" w:hAnsi="宋体" w:cs="宋体" w:eastAsia="宋体"/>
                <w:sz w:val="21"/>
              </w:rPr>
              <w:t>6.1、工作模式：可通过按键依次进行红蓝灯快闪、红蓝灯水平慢闪、红蓝灯垂直快闪、白光灯照明模式、白光灯频闪、关闭灯光模式切换；</w:t>
            </w:r>
          </w:p>
          <w:p>
            <w:pPr>
              <w:pStyle w:val="null3"/>
              <w:jc w:val="left"/>
            </w:pPr>
            <w:r>
              <w:rPr>
                <w:rFonts w:ascii="宋体" w:hAnsi="宋体" w:cs="宋体" w:eastAsia="宋体"/>
                <w:sz w:val="21"/>
              </w:rPr>
              <w:t>6.2、红光指示功能</w:t>
            </w:r>
            <w:r>
              <w:rPr>
                <w:rFonts w:ascii="宋体" w:hAnsi="宋体" w:cs="宋体" w:eastAsia="宋体"/>
                <w:sz w:val="21"/>
              </w:rPr>
              <w:t>：</w:t>
            </w:r>
            <w:r>
              <w:rPr>
                <w:rFonts w:ascii="宋体" w:hAnsi="宋体" w:cs="宋体" w:eastAsia="宋体"/>
                <w:sz w:val="21"/>
              </w:rPr>
              <w:t>可长按按键开启红光指示灯；</w:t>
            </w:r>
          </w:p>
          <w:p>
            <w:pPr>
              <w:pStyle w:val="null3"/>
              <w:jc w:val="left"/>
            </w:pPr>
            <w:r>
              <w:rPr>
                <w:rFonts w:ascii="宋体" w:hAnsi="宋体" w:cs="宋体" w:eastAsia="宋体"/>
                <w:sz w:val="21"/>
              </w:rPr>
              <w:t>6.3、电量状态指示功能：可长按按键显示电池电量状态；</w:t>
            </w:r>
          </w:p>
          <w:p>
            <w:pPr>
              <w:pStyle w:val="null3"/>
              <w:jc w:val="left"/>
            </w:pPr>
            <w:r>
              <w:rPr>
                <w:rFonts w:ascii="宋体" w:hAnsi="宋体" w:cs="宋体" w:eastAsia="宋体"/>
                <w:sz w:val="21"/>
              </w:rPr>
              <w:t>6.4、功能模式：重力感应模式：当肩灯倾斜角度大于45°时，红蓝闪烁模式由垂直方向警示灯闪烁自动切换为水平方向警示灯闪烁；在红蓝灯频闪模式下通过拍击样机方式可开启/关闭肩灯；</w:t>
            </w:r>
          </w:p>
          <w:p>
            <w:pPr>
              <w:pStyle w:val="null3"/>
              <w:jc w:val="left"/>
            </w:pPr>
            <w:r>
              <w:rPr>
                <w:rFonts w:ascii="宋体" w:hAnsi="宋体" w:cs="宋体" w:eastAsia="宋体"/>
                <w:sz w:val="21"/>
              </w:rPr>
              <w:t>6.5、闪烁频率</w:t>
            </w:r>
            <w:r>
              <w:rPr>
                <w:rFonts w:ascii="宋体" w:hAnsi="宋体" w:cs="宋体" w:eastAsia="宋体"/>
                <w:sz w:val="21"/>
              </w:rPr>
              <w:t>：</w:t>
            </w:r>
            <w:r>
              <w:rPr>
                <w:rFonts w:ascii="宋体" w:hAnsi="宋体" w:cs="宋体" w:eastAsia="宋体"/>
                <w:sz w:val="21"/>
              </w:rPr>
              <w:t>单颗灯切换频闪频率＜</w:t>
            </w:r>
            <w:r>
              <w:rPr>
                <w:rFonts w:ascii="宋体" w:hAnsi="宋体" w:cs="宋体" w:eastAsia="宋体"/>
                <w:sz w:val="21"/>
              </w:rPr>
              <w:t>2.5Hz；</w:t>
            </w:r>
          </w:p>
          <w:p>
            <w:pPr>
              <w:pStyle w:val="null3"/>
              <w:jc w:val="left"/>
            </w:pPr>
            <w:r>
              <w:rPr>
                <w:rFonts w:ascii="宋体" w:hAnsi="宋体" w:cs="宋体" w:eastAsia="宋体"/>
                <w:sz w:val="21"/>
              </w:rPr>
              <w:t>6.6、在红蓝灯快闪模式下的连续工作时间应≥50h；</w:t>
            </w:r>
          </w:p>
          <w:p>
            <w:pPr>
              <w:pStyle w:val="null3"/>
              <w:jc w:val="left"/>
            </w:pPr>
            <w:r>
              <w:rPr>
                <w:rFonts w:ascii="宋体" w:hAnsi="宋体" w:cs="宋体" w:eastAsia="宋体"/>
                <w:sz w:val="21"/>
              </w:rPr>
              <w:t>6.7、在红蓝灯垂直快闪模式下的连续工作时间应≥50h；</w:t>
            </w:r>
          </w:p>
          <w:p>
            <w:pPr>
              <w:pStyle w:val="null3"/>
              <w:jc w:val="left"/>
            </w:pPr>
            <w:r>
              <w:rPr>
                <w:rFonts w:ascii="宋体" w:hAnsi="宋体" w:cs="宋体" w:eastAsia="宋体"/>
                <w:sz w:val="21"/>
              </w:rPr>
              <w:t>6.8、在白光灯照明模式下的连续工作时间应≥30h；</w:t>
            </w:r>
          </w:p>
          <w:p>
            <w:pPr>
              <w:pStyle w:val="null3"/>
              <w:jc w:val="left"/>
            </w:pPr>
            <w:r>
              <w:rPr>
                <w:rFonts w:ascii="宋体" w:hAnsi="宋体" w:cs="宋体" w:eastAsia="宋体"/>
                <w:sz w:val="21"/>
              </w:rPr>
              <w:t>6.9、在白光灯频闪模式下的连续工作时间应≥50h；</w:t>
            </w:r>
          </w:p>
          <w:p>
            <w:pPr>
              <w:pStyle w:val="null3"/>
              <w:jc w:val="left"/>
            </w:pPr>
            <w:r>
              <w:rPr>
                <w:rFonts w:ascii="宋体" w:hAnsi="宋体" w:cs="宋体" w:eastAsia="宋体"/>
                <w:sz w:val="21"/>
              </w:rPr>
              <w:t>6.10、照度及别距离：电池充满电条件下≥380lx、连续工作2h条件下≥350lx</w:t>
            </w:r>
            <w:r>
              <w:rPr>
                <w:rFonts w:ascii="宋体" w:hAnsi="宋体" w:cs="宋体" w:eastAsia="宋体"/>
                <w:sz w:val="21"/>
              </w:rPr>
              <w:t>；</w:t>
            </w:r>
            <w:r>
              <w:rPr>
                <w:rFonts w:ascii="宋体" w:hAnsi="宋体" w:cs="宋体" w:eastAsia="宋体"/>
                <w:sz w:val="21"/>
              </w:rPr>
              <w:t>识别距离</w:t>
            </w:r>
            <w:r>
              <w:rPr>
                <w:rFonts w:ascii="宋体" w:hAnsi="宋体" w:cs="宋体" w:eastAsia="宋体"/>
                <w:sz w:val="21"/>
              </w:rPr>
              <w:t>:≥400m；</w:t>
            </w:r>
          </w:p>
          <w:p>
            <w:pPr>
              <w:pStyle w:val="null3"/>
              <w:jc w:val="left"/>
            </w:pPr>
            <w:r>
              <w:rPr>
                <w:rFonts w:ascii="宋体" w:hAnsi="宋体" w:cs="宋体" w:eastAsia="宋体"/>
                <w:sz w:val="21"/>
              </w:rPr>
              <w:t>6.11、自由跌落</w:t>
            </w:r>
            <w:r>
              <w:rPr>
                <w:rFonts w:ascii="宋体" w:hAnsi="宋体" w:cs="宋体" w:eastAsia="宋体"/>
                <w:sz w:val="21"/>
              </w:rPr>
              <w:t>：</w:t>
            </w:r>
            <w:r>
              <w:rPr>
                <w:rFonts w:ascii="宋体" w:hAnsi="宋体" w:cs="宋体" w:eastAsia="宋体"/>
                <w:sz w:val="21"/>
              </w:rPr>
              <w:t>跌落高度</w:t>
            </w:r>
            <w:r>
              <w:rPr>
                <w:rFonts w:ascii="宋体" w:hAnsi="宋体" w:cs="宋体" w:eastAsia="宋体"/>
                <w:sz w:val="21"/>
              </w:rPr>
              <w:t>≥15m；</w:t>
            </w:r>
          </w:p>
          <w:p>
            <w:pPr>
              <w:pStyle w:val="null3"/>
              <w:jc w:val="left"/>
            </w:pPr>
            <w:r>
              <w:rPr>
                <w:rFonts w:ascii="宋体" w:hAnsi="宋体" w:cs="宋体" w:eastAsia="宋体"/>
                <w:sz w:val="21"/>
              </w:rPr>
              <w:t>6.12、静电放电抗扰度：符合GB/T 17626.2-2018中规定的试验等级3的规定；</w:t>
            </w:r>
          </w:p>
          <w:p>
            <w:pPr>
              <w:pStyle w:val="null3"/>
              <w:jc w:val="left"/>
            </w:pPr>
            <w:r>
              <w:rPr>
                <w:rFonts w:ascii="宋体" w:hAnsi="宋体" w:cs="宋体" w:eastAsia="宋体"/>
                <w:sz w:val="21"/>
              </w:rPr>
              <w:t>7、充电时间：≤2h；</w:t>
            </w:r>
          </w:p>
          <w:p>
            <w:pPr>
              <w:pStyle w:val="null3"/>
              <w:jc w:val="left"/>
            </w:pPr>
            <w:r>
              <w:rPr>
                <w:rFonts w:ascii="宋体" w:hAnsi="宋体" w:cs="宋体" w:eastAsia="宋体"/>
                <w:sz w:val="21"/>
              </w:rPr>
              <w:t>8、按键耐久性：≥11000次；</w:t>
            </w:r>
          </w:p>
          <w:p>
            <w:pPr>
              <w:pStyle w:val="null3"/>
              <w:jc w:val="both"/>
            </w:pPr>
            <w:r>
              <w:rPr>
                <w:rFonts w:ascii="宋体" w:hAnsi="宋体" w:cs="宋体" w:eastAsia="宋体"/>
                <w:sz w:val="21"/>
              </w:rPr>
              <w:t>9、温度适应性：-20℃</w:t>
            </w:r>
            <w:r>
              <w:rPr>
                <w:rFonts w:ascii="宋体" w:hAnsi="宋体" w:cs="宋体" w:eastAsia="宋体"/>
                <w:sz w:val="21"/>
              </w:rPr>
              <w:t>～</w:t>
            </w:r>
            <w:r>
              <w:rPr>
                <w:rFonts w:ascii="宋体" w:hAnsi="宋体" w:cs="宋体" w:eastAsia="宋体"/>
                <w:sz w:val="21"/>
              </w:rPr>
              <w:t>55℃。</w:t>
            </w:r>
          </w:p>
        </w:tc>
      </w:tr>
    </w:tbl>
    <w:p>
      <w:pPr>
        <w:pStyle w:val="null3"/>
        <w:jc w:val="left"/>
      </w:pPr>
      <w:r>
        <w:rPr/>
        <w:t>标的名称：防毒面具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、执行标准：</w:t>
            </w:r>
            <w:r>
              <w:rPr>
                <w:rFonts w:ascii="&quot;calibri,&quot;sans-serif&quot;&quot;" w:hAnsi="&quot;calibri,&quot;sans-serif&quot;&quot;" w:cs="&quot;calibri,&quot;sans-serif&quot;&quot;" w:eastAsia="&quot;calibri,&quot;sans-serif&quot;&quot;"/>
                <w:sz w:val="21"/>
              </w:rPr>
              <w:t>GB 2890-2022《呼吸防护 自吸过滤式防毒面具》</w:t>
            </w:r>
            <w:r>
              <w:rPr>
                <w:rFonts w:ascii="宋体" w:hAnsi="宋体" w:cs="宋体" w:eastAsia="宋体"/>
                <w:sz w:val="21"/>
              </w:rPr>
              <w:t>；</w:t>
            </w:r>
            <w:r>
              <w:rPr>
                <w:rFonts w:ascii="宋体" w:hAnsi="宋体" w:cs="宋体" w:eastAsia="宋体"/>
                <w:b/>
                <w:sz w:val="21"/>
              </w:rPr>
              <w:t>（投标时提供国家认可的第三方检测机构出具的检测报告扫描件）</w:t>
            </w:r>
          </w:p>
          <w:p>
            <w:pPr>
              <w:pStyle w:val="null3"/>
              <w:jc w:val="left"/>
            </w:pPr>
            <w:r>
              <w:rPr>
                <w:rFonts w:ascii="宋体" w:hAnsi="宋体" w:cs="宋体" w:eastAsia="宋体"/>
                <w:sz w:val="21"/>
              </w:rPr>
              <w:t>★2、产品生产日期应为2024年1月1日及之后；</w:t>
            </w:r>
          </w:p>
          <w:p>
            <w:pPr>
              <w:pStyle w:val="null3"/>
              <w:jc w:val="left"/>
            </w:pPr>
            <w:r>
              <w:rPr>
                <w:rFonts w:ascii="宋体" w:hAnsi="宋体" w:cs="宋体" w:eastAsia="宋体"/>
                <w:sz w:val="21"/>
              </w:rPr>
              <w:t>3</w:t>
            </w:r>
            <w:r>
              <w:rPr>
                <w:rFonts w:ascii="宋体" w:hAnsi="宋体" w:cs="宋体" w:eastAsia="宋体"/>
                <w:sz w:val="21"/>
              </w:rPr>
              <w:t>、全面罩，球形全视野视窗防毒面具，聚碳酸酯面镜，硅胶罩体；五点式固定头带、传声通话模块、呼吸阀性能良好；</w:t>
            </w:r>
          </w:p>
          <w:p>
            <w:pPr>
              <w:pStyle w:val="null3"/>
              <w:jc w:val="both"/>
            </w:pPr>
            <w:r>
              <w:rPr>
                <w:rFonts w:ascii="宋体" w:hAnsi="宋体" w:cs="宋体" w:eastAsia="宋体"/>
                <w:sz w:val="21"/>
              </w:rPr>
              <w:t>4</w:t>
            </w:r>
            <w:r>
              <w:rPr>
                <w:rFonts w:ascii="宋体" w:hAnsi="宋体" w:cs="宋体" w:eastAsia="宋体"/>
                <w:sz w:val="21"/>
              </w:rPr>
              <w:t>、采用的双拉带扣紧</w:t>
            </w:r>
            <w:r>
              <w:rPr>
                <w:rFonts w:ascii="宋体" w:hAnsi="宋体" w:cs="宋体" w:eastAsia="宋体"/>
                <w:sz w:val="21"/>
              </w:rPr>
              <w:t>-放松的脱卸设计</w:t>
            </w:r>
            <w:r>
              <w:rPr>
                <w:rFonts w:ascii="宋体" w:hAnsi="宋体" w:cs="宋体" w:eastAsia="宋体"/>
                <w:sz w:val="21"/>
              </w:rPr>
              <w:t>。</w:t>
            </w:r>
          </w:p>
        </w:tc>
      </w:tr>
    </w:tbl>
    <w:p>
      <w:pPr>
        <w:pStyle w:val="null3"/>
        <w:jc w:val="left"/>
      </w:pPr>
      <w:r>
        <w:rPr/>
        <w:t>标的名称：防毒服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1"/>
              </w:rPr>
              <w:t>1、多层阻隔膜复合材料，接缝强力＞140 N，抗拉伸强度＞4KN/m；</w:t>
            </w:r>
          </w:p>
          <w:p>
            <w:pPr>
              <w:pStyle w:val="null3"/>
              <w:jc w:val="both"/>
            </w:pPr>
            <w:r>
              <w:rPr>
                <w:rFonts w:ascii="宋体" w:hAnsi="宋体" w:cs="宋体" w:eastAsia="宋体"/>
                <w:sz w:val="21"/>
              </w:rPr>
              <w:t>2、有效防护军事毒剂、生物战剂、化学毒剂、放射性气溶胶、有害粉尘和≥200种化学品的侵害；</w:t>
            </w:r>
          </w:p>
          <w:p>
            <w:pPr>
              <w:pStyle w:val="null3"/>
              <w:jc w:val="both"/>
            </w:pPr>
            <w:r>
              <w:rPr>
                <w:rFonts w:ascii="宋体" w:hAnsi="宋体" w:cs="宋体" w:eastAsia="宋体"/>
                <w:sz w:val="21"/>
              </w:rPr>
              <w:t>3、对抗生化毒剂渗透时间：芥子气＞17.5h，刘易斯毒气＞6.5h，沙林＞24h，VX＞24h。抗血液携带的病原体的穿透（ISO 16604）≥6级；</w:t>
            </w:r>
          </w:p>
          <w:p>
            <w:pPr>
              <w:pStyle w:val="null3"/>
              <w:jc w:val="both"/>
            </w:pPr>
            <w:r>
              <w:rPr>
                <w:rFonts w:ascii="宋体" w:hAnsi="宋体" w:cs="宋体" w:eastAsia="宋体"/>
                <w:sz w:val="21"/>
              </w:rPr>
              <w:t>4、抗化学品渗透性能（二甲基硫酸盐试剂）＞70 min；</w:t>
            </w:r>
          </w:p>
          <w:p>
            <w:pPr>
              <w:pStyle w:val="null3"/>
              <w:jc w:val="both"/>
            </w:pPr>
            <w:r>
              <w:rPr>
                <w:rFonts w:ascii="宋体" w:hAnsi="宋体" w:cs="宋体" w:eastAsia="宋体"/>
                <w:sz w:val="21"/>
              </w:rPr>
              <w:t>5、双层拉链和双层袖口设计；</w:t>
            </w:r>
          </w:p>
          <w:p>
            <w:pPr>
              <w:pStyle w:val="null3"/>
              <w:jc w:val="both"/>
            </w:pPr>
            <w:r>
              <w:rPr>
                <w:rFonts w:ascii="宋体" w:hAnsi="宋体" w:cs="宋体" w:eastAsia="宋体"/>
                <w:sz w:val="21"/>
              </w:rPr>
              <w:t>6、配套的手套由增厚型丁腈合成橡胶制作。抗化学品渗透性能：≥63min（二甲基硫酸盐试剂），灵巧性能：≥5级；</w:t>
            </w:r>
          </w:p>
          <w:p>
            <w:pPr>
              <w:pStyle w:val="null3"/>
              <w:jc w:val="both"/>
            </w:pPr>
            <w:r>
              <w:rPr>
                <w:rFonts w:ascii="宋体" w:hAnsi="宋体" w:cs="宋体" w:eastAsia="宋体"/>
                <w:sz w:val="21"/>
              </w:rPr>
              <w:t>7、配套的防护靴，筒高≥40cm，足趾防砸、足底防穿刺。可有效防护核粉尘及核气溶胶。靴底耐穿刺力＞700N，靴底在硫酸、盐酸和氢氧化钠浸泡后扯断强度＞9.8MPa。</w:t>
            </w:r>
          </w:p>
        </w:tc>
      </w:tr>
    </w:tbl>
    <w:p>
      <w:pPr>
        <w:pStyle w:val="null3"/>
        <w:jc w:val="left"/>
      </w:pPr>
      <w:r>
        <w:rPr/>
        <w:t>标的名称：手持金属探测仪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★1、符合标准：应符合GB 12899-2018《手持式金属探测器通用技术规范》的相关要求；</w:t>
            </w:r>
            <w:r>
              <w:rPr>
                <w:rFonts w:ascii="宋体" w:hAnsi="宋体" w:cs="宋体" w:eastAsia="宋体"/>
                <w:b/>
                <w:sz w:val="21"/>
              </w:rPr>
              <w:t>（投标时提供国家认可的第三方检测机构出具的检测报告扫描件）</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、运动速度：测试物及对应探测距离进行测试，不应出现漏报警。符合</w:t>
            </w:r>
            <w:r>
              <w:rPr>
                <w:rFonts w:ascii="宋体" w:hAnsi="宋体" w:cs="宋体" w:eastAsia="宋体"/>
                <w:sz w:val="21"/>
              </w:rPr>
              <w:t>GB 12899-2018</w:t>
            </w:r>
            <w:r>
              <w:rPr>
                <w:rFonts w:ascii="宋体" w:hAnsi="宋体" w:cs="宋体" w:eastAsia="宋体"/>
                <w:sz w:val="21"/>
              </w:rPr>
              <w:t>探测等级</w:t>
            </w:r>
            <w:r>
              <w:rPr>
                <w:rFonts w:ascii="宋体" w:hAnsi="宋体" w:cs="宋体" w:eastAsia="宋体"/>
                <w:sz w:val="21"/>
              </w:rPr>
              <w:t>A级；</w:t>
            </w:r>
          </w:p>
          <w:p>
            <w:pPr>
              <w:pStyle w:val="null3"/>
              <w:jc w:val="left"/>
            </w:pPr>
            <w:r>
              <w:rPr>
                <w:rFonts w:ascii="宋体" w:hAnsi="宋体" w:cs="宋体" w:eastAsia="宋体"/>
                <w:sz w:val="21"/>
              </w:rPr>
              <w:t>3</w:t>
            </w:r>
            <w:r>
              <w:rPr>
                <w:rFonts w:ascii="宋体" w:hAnsi="宋体" w:cs="宋体" w:eastAsia="宋体"/>
                <w:sz w:val="21"/>
              </w:rPr>
              <w:t>、尺寸及重量：外形尺寸应</w:t>
            </w:r>
            <w:r>
              <w:rPr>
                <w:rFonts w:ascii="宋体" w:hAnsi="宋体" w:cs="宋体" w:eastAsia="宋体"/>
                <w:sz w:val="21"/>
              </w:rPr>
              <w:t>≤360×85×45mm。重量应≤270g（不含电池）；</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、辐射磁感应强度：探测器发出的辐射磁场，其磁感应强度在其表面任一点都应小于等于</w:t>
            </w:r>
            <w:r>
              <w:rPr>
                <w:rFonts w:ascii="宋体" w:hAnsi="宋体" w:cs="宋体" w:eastAsia="宋体"/>
                <w:sz w:val="21"/>
              </w:rPr>
              <w:t>8μT</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、报警声音：距探测器</w:t>
            </w:r>
            <w:r>
              <w:rPr>
                <w:rFonts w:ascii="宋体" w:hAnsi="宋体" w:cs="宋体" w:eastAsia="宋体"/>
                <w:sz w:val="21"/>
              </w:rPr>
              <w:t>0.8m处的最大报警声强≥87dB（A），报警声应与提示其它信息的声音有区别</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、控制功能检查：应可通过按键实现低、中、高、超高灵敏等级转换，探测模式转换，报警模式转换</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、金属含量提示功能检查：探测的到金属时，金属含量越大，设备的声、光、振动越强</w:t>
            </w:r>
            <w:r>
              <w:rPr>
                <w:rFonts w:ascii="宋体" w:hAnsi="宋体" w:cs="宋体" w:eastAsia="宋体"/>
                <w:sz w:val="21"/>
              </w:rPr>
              <w:t>；</w:t>
            </w:r>
          </w:p>
          <w:p>
            <w:pPr>
              <w:pStyle w:val="null3"/>
              <w:jc w:val="left"/>
            </w:pPr>
            <w:r>
              <w:rPr>
                <w:rFonts w:ascii="宋体" w:hAnsi="宋体" w:cs="宋体" w:eastAsia="宋体"/>
                <w:sz w:val="21"/>
              </w:rPr>
              <w:t>8</w:t>
            </w:r>
            <w:r>
              <w:rPr>
                <w:rFonts w:ascii="宋体" w:hAnsi="宋体" w:cs="宋体" w:eastAsia="宋体"/>
                <w:sz w:val="21"/>
              </w:rPr>
              <w:t>、主要功能及性能要求：</w:t>
            </w:r>
            <w:r>
              <w:rPr/>
              <w:t xml:space="preserve"> </w:t>
            </w:r>
          </w:p>
          <w:p>
            <w:pPr>
              <w:pStyle w:val="null3"/>
              <w:jc w:val="both"/>
            </w:pPr>
            <w:r>
              <w:rPr>
                <w:rFonts w:ascii="宋体" w:hAnsi="宋体" w:cs="宋体" w:eastAsia="宋体"/>
                <w:sz w:val="21"/>
              </w:rPr>
              <w:t>▲</w:t>
            </w:r>
            <w:r>
              <w:rPr>
                <w:rFonts w:ascii="宋体" w:hAnsi="宋体" w:cs="宋体" w:eastAsia="宋体"/>
                <w:sz w:val="21"/>
              </w:rPr>
              <w:t>8</w:t>
            </w:r>
            <w:r>
              <w:rPr>
                <w:rFonts w:ascii="宋体" w:hAnsi="宋体" w:cs="宋体" w:eastAsia="宋体"/>
                <w:sz w:val="21"/>
              </w:rPr>
              <w:t>.1、探测灵敏度符合</w:t>
            </w:r>
            <w:r>
              <w:rPr>
                <w:rFonts w:ascii="宋体" w:hAnsi="宋体" w:cs="宋体" w:eastAsia="宋体"/>
                <w:sz w:val="21"/>
              </w:rPr>
              <w:t>G</w:t>
            </w:r>
            <w:r>
              <w:rPr>
                <w:rFonts w:ascii="宋体" w:hAnsi="宋体" w:cs="宋体" w:eastAsia="宋体"/>
                <w:sz w:val="21"/>
              </w:rPr>
              <w:t>B12899-2018“4.6.2探测灵敏度”</w:t>
            </w:r>
            <w:r>
              <w:rPr>
                <w:rFonts w:ascii="宋体" w:hAnsi="宋体" w:cs="宋体" w:eastAsia="宋体"/>
                <w:sz w:val="21"/>
              </w:rPr>
              <w:t>A级标准，</w:t>
            </w:r>
            <w:r>
              <w:rPr>
                <w:rFonts w:ascii="宋体" w:hAnsi="宋体" w:cs="宋体" w:eastAsia="宋体"/>
                <w:sz w:val="21"/>
              </w:rPr>
              <w:t>不应出现漏报警。</w:t>
            </w:r>
          </w:p>
          <w:p>
            <w:pPr>
              <w:pStyle w:val="null3"/>
              <w:jc w:val="left"/>
            </w:pPr>
            <w:r>
              <w:rPr>
                <w:rFonts w:ascii="宋体" w:hAnsi="宋体" w:cs="宋体" w:eastAsia="宋体"/>
                <w:sz w:val="21"/>
              </w:rPr>
              <w:t>8</w:t>
            </w:r>
            <w:r>
              <w:rPr>
                <w:rFonts w:ascii="宋体" w:hAnsi="宋体" w:cs="宋体" w:eastAsia="宋体"/>
                <w:sz w:val="21"/>
              </w:rPr>
              <w:t>.2、工作温度：高温试验：室外型：+60℃±2℃、2h试验期间功能应正常；低温试验：室外型：-30℃±3℃、2h试验期间功能应正常；</w:t>
            </w:r>
          </w:p>
          <w:p>
            <w:pPr>
              <w:pStyle w:val="null3"/>
              <w:jc w:val="left"/>
            </w:pPr>
            <w:r>
              <w:rPr>
                <w:rFonts w:ascii="宋体" w:hAnsi="宋体" w:cs="宋体" w:eastAsia="宋体"/>
                <w:sz w:val="21"/>
              </w:rPr>
              <w:t>8</w:t>
            </w:r>
            <w:r>
              <w:rPr>
                <w:rFonts w:ascii="宋体" w:hAnsi="宋体" w:cs="宋体" w:eastAsia="宋体"/>
                <w:sz w:val="21"/>
              </w:rPr>
              <w:t>.3、自由跌落标准：跌落高度2m，6个面分别朝下，每面2次；</w:t>
            </w:r>
          </w:p>
          <w:p>
            <w:pPr>
              <w:pStyle w:val="null3"/>
              <w:jc w:val="left"/>
            </w:pPr>
            <w:r>
              <w:rPr>
                <w:rFonts w:ascii="宋体" w:hAnsi="宋体" w:cs="宋体" w:eastAsia="宋体"/>
                <w:sz w:val="21"/>
              </w:rPr>
              <w:t>8</w:t>
            </w:r>
            <w:r>
              <w:rPr>
                <w:rFonts w:ascii="宋体" w:hAnsi="宋体" w:cs="宋体" w:eastAsia="宋体"/>
                <w:sz w:val="21"/>
              </w:rPr>
              <w:t>.4、休眠功能检查：设备应具有休眠功能，当设备在开机状态下超过2min不使用时，应进入休眠状态；在休眠状态下10min内有金属靠近时，设备会自动唤醒；在休眠状态下超过10min没有金属靠近时，设备应自动关机；</w:t>
            </w:r>
          </w:p>
          <w:p>
            <w:pPr>
              <w:pStyle w:val="null3"/>
              <w:jc w:val="left"/>
            </w:pPr>
            <w:r>
              <w:rPr>
                <w:rFonts w:ascii="宋体" w:hAnsi="宋体" w:cs="宋体" w:eastAsia="宋体"/>
                <w:sz w:val="21"/>
              </w:rPr>
              <w:t>8</w:t>
            </w:r>
            <w:r>
              <w:rPr>
                <w:rFonts w:ascii="宋体" w:hAnsi="宋体" w:cs="宋体" w:eastAsia="宋体"/>
                <w:sz w:val="21"/>
              </w:rPr>
              <w:t>.5、工作电流检查：工作时手探最大工作电流：DC3V供电时声光报警应≤60mA；振动光报警应≤25mA；待机电流应≤15mA；</w:t>
            </w:r>
          </w:p>
          <w:p>
            <w:pPr>
              <w:pStyle w:val="null3"/>
              <w:jc w:val="left"/>
            </w:pPr>
            <w:r>
              <w:rPr>
                <w:rFonts w:ascii="宋体" w:hAnsi="宋体" w:cs="宋体" w:eastAsia="宋体"/>
                <w:sz w:val="21"/>
              </w:rPr>
              <w:t>8</w:t>
            </w:r>
            <w:r>
              <w:rPr>
                <w:rFonts w:ascii="宋体" w:hAnsi="宋体" w:cs="宋体" w:eastAsia="宋体"/>
                <w:sz w:val="21"/>
              </w:rPr>
              <w:t>.6、探测板材质：探测器的线圈探测面板应采用PCB板敷铜制作。</w:t>
            </w:r>
          </w:p>
          <w:p>
            <w:pPr>
              <w:pStyle w:val="null3"/>
              <w:jc w:val="left"/>
            </w:pPr>
            <w:r>
              <w:rPr>
                <w:rFonts w:ascii="宋体" w:hAnsi="宋体" w:cs="宋体" w:eastAsia="宋体"/>
                <w:sz w:val="21"/>
              </w:rPr>
              <w:t>8</w:t>
            </w:r>
            <w:r>
              <w:rPr>
                <w:rFonts w:ascii="宋体" w:hAnsi="宋体" w:cs="宋体" w:eastAsia="宋体"/>
                <w:sz w:val="21"/>
              </w:rPr>
              <w:t>.7、探测器应具有≥3种探测模式：在黑色金属和有色金属混合探测模式下：对半片不锈钢剃须刀片、金银首饰、铝（37×10×0.5mm)和铜（37×10×0.5mm)进行测试应均可报警；在黑色金属探测模式下：对半片不锈钢剃须刀片测试应报警，对有色金属金银首饰、铝（37×10×0.5mm)、铜（37×10×0.5mm)进行测试应不报警；在有色金属探测模式下：对金银首饰、铝（37×10×0.5mm)和铜（37×10×0.5mm），测试应可报警。在高灵敏度模式状态下，距离探测物铝（37×10×0.5mm)和铜（37×10×0.5mm）应可报警，对黑色金属样品不锈钢剃须刀片测试应不报警；</w:t>
            </w:r>
          </w:p>
          <w:p>
            <w:pPr>
              <w:pStyle w:val="null3"/>
              <w:jc w:val="left"/>
            </w:pPr>
            <w:r>
              <w:rPr>
                <w:rFonts w:ascii="宋体" w:hAnsi="宋体" w:cs="宋体" w:eastAsia="宋体"/>
                <w:sz w:val="21"/>
              </w:rPr>
              <w:t>8.8</w:t>
            </w:r>
            <w:r>
              <w:rPr>
                <w:rFonts w:ascii="宋体" w:hAnsi="宋体" w:cs="宋体" w:eastAsia="宋体"/>
                <w:sz w:val="21"/>
              </w:rPr>
              <w:t>、回形针探测能力：以回形针为探测物，探测器以接近</w:t>
            </w:r>
            <w:r>
              <w:rPr>
                <w:rFonts w:ascii="宋体" w:hAnsi="宋体" w:cs="宋体" w:eastAsia="宋体"/>
                <w:sz w:val="21"/>
              </w:rPr>
              <w:t>1m/s的速度在测试平面上方0.5m处沿Z轴向下运动，直至接触到测试平面,然后以同样的速度迅速提起回到初试位置。从距Z轴0.5m处开始,沿着Y轴平行的方向从探测器一侧穿过Z轴到另一侧距Z轴0.5m处,不出现漏报警或误报警。</w:t>
            </w:r>
          </w:p>
          <w:p>
            <w:pPr>
              <w:pStyle w:val="null3"/>
              <w:jc w:val="both"/>
            </w:pPr>
            <w:r>
              <w:rPr>
                <w:rFonts w:ascii="宋体" w:hAnsi="宋体" w:cs="宋体" w:eastAsia="宋体"/>
                <w:b/>
                <w:sz w:val="21"/>
              </w:rPr>
              <w:t>注：</w:t>
            </w:r>
            <w:r>
              <w:rPr>
                <w:rFonts w:ascii="宋体" w:hAnsi="宋体" w:cs="宋体" w:eastAsia="宋体"/>
                <w:b/>
                <w:sz w:val="21"/>
              </w:rPr>
              <w:t>“▲”号参数投标时响应，验收时提供国家认可的第三方检测机构出具的检测报告原件或复印件。</w:t>
            </w:r>
          </w:p>
        </w:tc>
      </w:tr>
    </w:tbl>
    <w:p>
      <w:pPr>
        <w:pStyle w:val="null3"/>
        <w:jc w:val="left"/>
      </w:pPr>
      <w:r>
        <w:rPr/>
        <w:t>标的名称：尼龙多功能腰带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符合执行标准：</w:t>
            </w:r>
            <w:r>
              <w:rPr>
                <w:rFonts w:ascii="宋体" w:hAnsi="宋体" w:cs="宋体" w:eastAsia="宋体"/>
                <w:sz w:val="21"/>
              </w:rPr>
              <w:t>GA890-2018 《公安单警装备多功能腰带》</w:t>
            </w:r>
            <w:r>
              <w:rPr>
                <w:rFonts w:ascii="宋体" w:hAnsi="宋体" w:cs="宋体" w:eastAsia="宋体"/>
                <w:sz w:val="21"/>
              </w:rPr>
              <w:t>；</w:t>
            </w:r>
            <w:r>
              <w:rPr>
                <w:rFonts w:ascii="宋体" w:hAnsi="宋体" w:cs="宋体" w:eastAsia="宋体"/>
                <w:b/>
                <w:sz w:val="21"/>
              </w:rPr>
              <w:t>（投标时提供国家认可的第三方检测机构出具的检测报告扫描件）</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、多功能腰带主要由主腰带、内带、斜挂带、手铐套、对讲机套、强光手电套、警用工作包、警棍套、催泪喷射器套构成；</w:t>
            </w:r>
            <w:r>
              <w:rPr>
                <w:rFonts w:ascii="宋体" w:hAnsi="宋体" w:cs="宋体" w:eastAsia="宋体"/>
                <w:b/>
                <w:sz w:val="21"/>
              </w:rPr>
              <w:t>（投标时提供承诺函，验收时提供国家认可的第三方检测机构出具的检测报告原件或复印件）</w:t>
            </w:r>
          </w:p>
          <w:p>
            <w:pPr>
              <w:pStyle w:val="null3"/>
              <w:jc w:val="both"/>
            </w:pPr>
            <w:r>
              <w:rPr>
                <w:rFonts w:ascii="宋体" w:hAnsi="宋体" w:cs="宋体" w:eastAsia="宋体"/>
                <w:sz w:val="21"/>
              </w:rPr>
              <w:t>3、</w:t>
            </w:r>
            <w:r>
              <w:rPr>
                <w:rFonts w:ascii="宋体" w:hAnsi="宋体" w:cs="宋体" w:eastAsia="宋体"/>
                <w:sz w:val="21"/>
              </w:rPr>
              <w:t>颜色：黑色。</w:t>
            </w:r>
          </w:p>
        </w:tc>
      </w:tr>
    </w:tbl>
    <w:p>
      <w:pPr>
        <w:pStyle w:val="null3"/>
        <w:jc w:val="left"/>
      </w:pPr>
      <w:r>
        <w:rPr/>
        <w:t>标的名称：伸缩警棍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1"/>
              </w:rPr>
              <w:t>★1、结构要求：新型伸缩警棍主要由三节圆柱管组成，主要部件由握把、小管、中管、棍头、鼓碟、解锁按钮、解锁杆、限位环、阻尼圈等；内部采用鼓碟锁定机械结构实现中管和小管的收回伸展；</w:t>
            </w:r>
          </w:p>
          <w:p>
            <w:pPr>
              <w:pStyle w:val="null3"/>
              <w:jc w:val="both"/>
            </w:pPr>
            <w:r>
              <w:rPr>
                <w:rFonts w:ascii="宋体" w:hAnsi="宋体" w:cs="宋体" w:eastAsia="宋体"/>
                <w:sz w:val="21"/>
              </w:rPr>
              <w:t>★2、外观要求：伸缩警棍表面光滑，镀层均匀、牢固，无斑驳</w:t>
            </w:r>
            <w:r>
              <w:rPr>
                <w:rFonts w:ascii="宋体" w:hAnsi="宋体" w:cs="宋体" w:eastAsia="宋体"/>
                <w:sz w:val="21"/>
              </w:rPr>
              <w:t>、</w:t>
            </w:r>
            <w:r>
              <w:rPr>
                <w:rFonts w:ascii="宋体" w:hAnsi="宋体" w:cs="宋体" w:eastAsia="宋体"/>
                <w:sz w:val="21"/>
              </w:rPr>
              <w:t>色差。完全伸展状态下，所有金属部件应为亚光黑色，握把橡胶套应为黑色；</w:t>
            </w:r>
          </w:p>
          <w:p>
            <w:pPr>
              <w:pStyle w:val="null3"/>
              <w:jc w:val="both"/>
            </w:pPr>
            <w:r>
              <w:rPr>
                <w:rFonts w:ascii="宋体" w:hAnsi="宋体" w:cs="宋体" w:eastAsia="宋体"/>
                <w:b/>
                <w:sz w:val="21"/>
              </w:rPr>
              <w:t>注：第</w:t>
            </w:r>
            <w:r>
              <w:rPr>
                <w:rFonts w:ascii="宋体" w:hAnsi="宋体" w:cs="宋体" w:eastAsia="宋体"/>
                <w:b/>
                <w:sz w:val="21"/>
              </w:rPr>
              <w:t>1</w:t>
            </w:r>
            <w:r>
              <w:rPr>
                <w:rFonts w:ascii="宋体" w:hAnsi="宋体" w:cs="宋体" w:eastAsia="宋体"/>
                <w:b/>
                <w:sz w:val="21"/>
              </w:rPr>
              <w:t>项～第</w:t>
            </w:r>
            <w:r>
              <w:rPr>
                <w:rFonts w:ascii="宋体" w:hAnsi="宋体" w:cs="宋体" w:eastAsia="宋体"/>
                <w:b/>
                <w:sz w:val="21"/>
              </w:rPr>
              <w:t>2</w:t>
            </w:r>
            <w:r>
              <w:rPr>
                <w:rFonts w:ascii="宋体" w:hAnsi="宋体" w:cs="宋体" w:eastAsia="宋体"/>
                <w:b/>
                <w:sz w:val="21"/>
              </w:rPr>
              <w:t>项</w:t>
            </w:r>
            <w:r>
              <w:rPr>
                <w:rFonts w:ascii="宋体" w:hAnsi="宋体" w:cs="宋体" w:eastAsia="宋体"/>
                <w:b/>
                <w:sz w:val="21"/>
              </w:rPr>
              <w:t>“★”号参数，投标时提供承诺函</w:t>
            </w:r>
            <w:r>
              <w:rPr>
                <w:rFonts w:ascii="宋体" w:hAnsi="宋体" w:cs="宋体" w:eastAsia="宋体"/>
                <w:b/>
                <w:sz w:val="21"/>
              </w:rPr>
              <w:t>，</w:t>
            </w:r>
            <w:r>
              <w:rPr>
                <w:rFonts w:ascii="宋体" w:hAnsi="宋体" w:cs="宋体" w:eastAsia="宋体"/>
                <w:b/>
                <w:sz w:val="21"/>
              </w:rPr>
              <w:t>验收时提供国家认可的第三方检测机构出具的检测报告原件或复印件。</w:t>
            </w:r>
          </w:p>
          <w:p>
            <w:pPr>
              <w:pStyle w:val="null3"/>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、本产品应符合执行标准：</w:t>
            </w:r>
            <w:r>
              <w:rPr>
                <w:rFonts w:ascii="宋体" w:hAnsi="宋体" w:cs="宋体" w:eastAsia="宋体"/>
                <w:sz w:val="21"/>
              </w:rPr>
              <w:t>GA886-2018 《公安单警装备伸缩警棍》行业标准中便携</w:t>
            </w:r>
            <w:r>
              <w:rPr>
                <w:rFonts w:ascii="宋体" w:hAnsi="宋体" w:cs="宋体" w:eastAsia="宋体"/>
                <w:sz w:val="21"/>
              </w:rPr>
              <w:t>型</w:t>
            </w:r>
            <w:r>
              <w:rPr>
                <w:rFonts w:ascii="宋体" w:hAnsi="宋体" w:cs="宋体" w:eastAsia="宋体"/>
                <w:sz w:val="21"/>
              </w:rPr>
              <w:t>警棍有关技术指标，包括但不限于伸缩可靠性、轴向抗拉性能、抗弯性能</w:t>
            </w:r>
            <w:r>
              <w:rPr>
                <w:rFonts w:ascii="宋体" w:hAnsi="宋体" w:cs="宋体" w:eastAsia="宋体"/>
                <w:sz w:val="21"/>
              </w:rPr>
              <w:t>、耐击打性能等；</w:t>
            </w:r>
            <w:r>
              <w:rPr>
                <w:rFonts w:ascii="宋体" w:hAnsi="宋体" w:cs="宋体" w:eastAsia="宋体"/>
                <w:b/>
                <w:sz w:val="21"/>
              </w:rPr>
              <w:t>（</w:t>
            </w:r>
            <w:r>
              <w:rPr>
                <w:rFonts w:ascii="宋体" w:hAnsi="宋体" w:cs="宋体" w:eastAsia="宋体"/>
                <w:b/>
                <w:sz w:val="21"/>
              </w:rPr>
              <w:t>投标时提供国家认可的第三方检测机构出具的检测报告扫描件</w:t>
            </w:r>
            <w:r>
              <w:rPr>
                <w:rFonts w:ascii="宋体" w:hAnsi="宋体" w:cs="宋体" w:eastAsia="宋体"/>
                <w:b/>
                <w:sz w:val="21"/>
              </w:rPr>
              <w:t>）</w:t>
            </w:r>
          </w:p>
        </w:tc>
      </w:tr>
    </w:tbl>
    <w:p>
      <w:pPr>
        <w:pStyle w:val="null3"/>
        <w:jc w:val="left"/>
      </w:pPr>
      <w:r>
        <w:rPr/>
        <w:t>标的名称：催泪喷射器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★1、尺寸：催泪喷射器高度为188.5mm±2mm；筒身最大外径为40mm±1mm；外罐外径为37.5mm±0.5mm；观察窗尺寸宽为8mm±1mm，高80mm±1mm；</w:t>
            </w:r>
          </w:p>
          <w:p>
            <w:pPr>
              <w:pStyle w:val="null3"/>
              <w:jc w:val="left"/>
            </w:pPr>
            <w:r>
              <w:rPr>
                <w:rFonts w:ascii="宋体" w:hAnsi="宋体" w:cs="宋体" w:eastAsia="宋体"/>
                <w:sz w:val="21"/>
              </w:rPr>
              <w:t>★2、质量：催泪喷射器满罐质量185g±15g；</w:t>
            </w:r>
          </w:p>
          <w:p>
            <w:pPr>
              <w:pStyle w:val="null3"/>
              <w:jc w:val="left"/>
            </w:pPr>
            <w:r>
              <w:rPr>
                <w:rFonts w:ascii="宋体" w:hAnsi="宋体" w:cs="宋体" w:eastAsia="宋体"/>
                <w:sz w:val="21"/>
              </w:rPr>
              <w:t>★3、催泪剂：催泪喷射器中催泪剂的主要作用成分为合成辣椒素（OC），合成辣椒素（OC）应符合</w:t>
            </w:r>
            <w:r>
              <w:rPr>
                <w:rFonts w:ascii="宋体" w:hAnsi="宋体" w:cs="宋体" w:eastAsia="宋体"/>
                <w:sz w:val="21"/>
              </w:rPr>
              <w:t>G</w:t>
            </w:r>
            <w:r>
              <w:rPr>
                <w:rFonts w:ascii="宋体" w:hAnsi="宋体" w:cs="宋体" w:eastAsia="宋体"/>
                <w:sz w:val="21"/>
              </w:rPr>
              <w:t>A1182-2014的规定，</w:t>
            </w:r>
            <w:r>
              <w:rPr>
                <w:rFonts w:ascii="宋体" w:hAnsi="宋体" w:cs="宋体" w:eastAsia="宋体"/>
                <w:sz w:val="21"/>
              </w:rPr>
              <w:t>含量为</w:t>
            </w:r>
            <w:r>
              <w:rPr>
                <w:rFonts w:ascii="宋体" w:hAnsi="宋体" w:cs="宋体" w:eastAsia="宋体"/>
                <w:sz w:val="21"/>
              </w:rPr>
              <w:t>1.5％～2.0％，灌液量为70ml±3ml；</w:t>
            </w:r>
            <w:r>
              <w:rPr>
                <w:rFonts w:ascii="宋体" w:hAnsi="宋体" w:cs="宋体" w:eastAsia="宋体"/>
                <w:sz w:val="21"/>
              </w:rPr>
              <w:t>。</w:t>
            </w:r>
          </w:p>
          <w:p>
            <w:pPr>
              <w:pStyle w:val="null3"/>
              <w:jc w:val="left"/>
            </w:pPr>
            <w:r>
              <w:rPr>
                <w:rFonts w:ascii="宋体" w:hAnsi="宋体" w:cs="宋体" w:eastAsia="宋体"/>
                <w:sz w:val="21"/>
              </w:rPr>
              <w:t>★4、喷射性能：</w:t>
            </w:r>
          </w:p>
          <w:p>
            <w:pPr>
              <w:pStyle w:val="null3"/>
              <w:jc w:val="left"/>
            </w:pPr>
            <w:r>
              <w:rPr>
                <w:rFonts w:ascii="宋体" w:hAnsi="宋体" w:cs="宋体" w:eastAsia="宋体"/>
                <w:sz w:val="21"/>
              </w:rPr>
              <w:t>4</w:t>
            </w:r>
            <w:r>
              <w:rPr>
                <w:rFonts w:ascii="宋体" w:hAnsi="宋体" w:cs="宋体" w:eastAsia="宋体"/>
                <w:sz w:val="21"/>
              </w:rPr>
              <w:t>.1</w:t>
            </w:r>
            <w:r>
              <w:rPr>
                <w:rFonts w:ascii="宋体" w:hAnsi="宋体" w:cs="宋体" w:eastAsia="宋体"/>
                <w:sz w:val="21"/>
              </w:rPr>
              <w:t>催泪喷射器喷射为定向射流状，喷射距离</w:t>
            </w:r>
            <w:r>
              <w:rPr>
                <w:rFonts w:ascii="宋体" w:hAnsi="宋体" w:cs="宋体" w:eastAsia="宋体"/>
                <w:sz w:val="21"/>
              </w:rPr>
              <w:t>≥4m，有效喷射时间≥7s，完全喷射后剩余溶液量≤7ml，</w:t>
            </w:r>
          </w:p>
          <w:p>
            <w:pPr>
              <w:pStyle w:val="null3"/>
              <w:jc w:val="left"/>
            </w:pPr>
            <w:r>
              <w:rPr>
                <w:rFonts w:ascii="宋体" w:hAnsi="宋体" w:cs="宋体" w:eastAsia="宋体"/>
                <w:sz w:val="21"/>
              </w:rPr>
              <w:t>4</w:t>
            </w:r>
            <w:r>
              <w:rPr>
                <w:rFonts w:ascii="宋体" w:hAnsi="宋体" w:cs="宋体" w:eastAsia="宋体"/>
                <w:sz w:val="21"/>
              </w:rPr>
              <w:t>.2</w:t>
            </w:r>
            <w:r>
              <w:rPr>
                <w:rFonts w:ascii="宋体" w:hAnsi="宋体" w:cs="宋体" w:eastAsia="宋体"/>
                <w:sz w:val="21"/>
              </w:rPr>
              <w:t>催泪喷射器有效喷射</w:t>
            </w:r>
            <w:r>
              <w:rPr>
                <w:rFonts w:ascii="宋体" w:hAnsi="宋体" w:cs="宋体" w:eastAsia="宋体"/>
                <w:sz w:val="21"/>
              </w:rPr>
              <w:t>3S 后，放置8h后再次喷射，喷射距离≥3m，</w:t>
            </w:r>
            <w:r>
              <w:rPr>
                <w:rFonts w:ascii="宋体" w:hAnsi="宋体" w:cs="宋体" w:eastAsia="宋体"/>
                <w:sz w:val="21"/>
              </w:rPr>
              <w:t>喷射</w:t>
            </w:r>
            <w:r>
              <w:rPr>
                <w:rFonts w:ascii="宋体" w:hAnsi="宋体" w:cs="宋体" w:eastAsia="宋体"/>
                <w:sz w:val="21"/>
              </w:rPr>
              <w:t>距离达到</w:t>
            </w:r>
            <w:r>
              <w:rPr>
                <w:rFonts w:ascii="宋体" w:hAnsi="宋体" w:cs="宋体" w:eastAsia="宋体"/>
                <w:sz w:val="21"/>
              </w:rPr>
              <w:t>3m的时间</w:t>
            </w:r>
            <w:r>
              <w:rPr>
                <w:rFonts w:ascii="宋体" w:hAnsi="宋体" w:cs="宋体" w:eastAsia="宋体"/>
                <w:sz w:val="21"/>
              </w:rPr>
              <w:t>≥4S，完全喷射后剩余溶液量≤7ml；</w:t>
            </w:r>
          </w:p>
          <w:p>
            <w:pPr>
              <w:pStyle w:val="null3"/>
              <w:jc w:val="left"/>
            </w:pPr>
            <w:r>
              <w:rPr>
                <w:rFonts w:ascii="宋体" w:hAnsi="宋体" w:cs="宋体" w:eastAsia="宋体"/>
                <w:sz w:val="21"/>
              </w:rPr>
              <w:t>★5、稳定性：催泪喷射器在老化试验后产品应表面无剥落，不解体、不泄漏、不爆裂，能正常喷射。且符合喷射性能4</w:t>
            </w:r>
            <w:r>
              <w:rPr>
                <w:rFonts w:ascii="宋体" w:hAnsi="宋体" w:cs="宋体" w:eastAsia="宋体"/>
                <w:sz w:val="21"/>
              </w:rPr>
              <w:t>.1的要求</w:t>
            </w:r>
            <w:r>
              <w:rPr>
                <w:rFonts w:ascii="宋体" w:hAnsi="宋体" w:cs="宋体" w:eastAsia="宋体"/>
                <w:sz w:val="21"/>
              </w:rPr>
              <w:t>；</w:t>
            </w:r>
          </w:p>
          <w:p>
            <w:pPr>
              <w:pStyle w:val="null3"/>
              <w:jc w:val="left"/>
            </w:pPr>
            <w:r>
              <w:rPr>
                <w:rFonts w:ascii="宋体" w:hAnsi="宋体" w:cs="宋体" w:eastAsia="宋体"/>
                <w:sz w:val="21"/>
              </w:rPr>
              <w:t>★6、承压安全性：催泪喷射器经980N承压试验后，应不解体、不泄漏、不爆裂，且符合喷射性能4</w:t>
            </w:r>
            <w:r>
              <w:rPr>
                <w:rFonts w:ascii="宋体" w:hAnsi="宋体" w:cs="宋体" w:eastAsia="宋体"/>
                <w:sz w:val="21"/>
              </w:rPr>
              <w:t>.1</w:t>
            </w:r>
            <w:r>
              <w:rPr>
                <w:rFonts w:ascii="宋体" w:hAnsi="宋体" w:cs="宋体" w:eastAsia="宋体"/>
                <w:sz w:val="21"/>
              </w:rPr>
              <w:t>的要求；</w:t>
            </w:r>
          </w:p>
          <w:p>
            <w:pPr>
              <w:pStyle w:val="null3"/>
              <w:jc w:val="left"/>
            </w:pPr>
            <w:r>
              <w:rPr>
                <w:rFonts w:ascii="宋体" w:hAnsi="宋体" w:cs="宋体" w:eastAsia="宋体"/>
                <w:sz w:val="21"/>
              </w:rPr>
              <w:t>★7、保险盖安全性：产品配有防止误喷射的保险盖，保险盖应装配平滑、复位顺畅、按钮开关松紧适度，有足够的回复力，保险盖重复启闭100次应可正常使用，且符合喷射性能4</w:t>
            </w:r>
            <w:r>
              <w:rPr>
                <w:rFonts w:ascii="宋体" w:hAnsi="宋体" w:cs="宋体" w:eastAsia="宋体"/>
                <w:sz w:val="21"/>
              </w:rPr>
              <w:t>.1</w:t>
            </w:r>
            <w:r>
              <w:rPr>
                <w:rFonts w:ascii="宋体" w:hAnsi="宋体" w:cs="宋体" w:eastAsia="宋体"/>
                <w:sz w:val="21"/>
              </w:rPr>
              <w:t>的要求；</w:t>
            </w:r>
          </w:p>
          <w:p>
            <w:pPr>
              <w:pStyle w:val="null3"/>
              <w:jc w:val="left"/>
            </w:pPr>
            <w:r>
              <w:rPr>
                <w:rFonts w:ascii="宋体" w:hAnsi="宋体" w:cs="宋体" w:eastAsia="宋体"/>
                <w:sz w:val="21"/>
              </w:rPr>
              <w:t>★8、催泪喷射器在带包装条件下经加速度幅值为2m/s</w:t>
            </w:r>
            <w:r>
              <w:rPr>
                <w:rFonts w:ascii="宋体" w:hAnsi="宋体" w:cs="宋体" w:eastAsia="宋体"/>
                <w:sz w:val="21"/>
                <w:vertAlign w:val="superscript"/>
              </w:rPr>
              <w:t>2</w:t>
            </w:r>
            <w:r>
              <w:rPr>
                <w:rFonts w:ascii="宋体" w:hAnsi="宋体" w:cs="宋体" w:eastAsia="宋体"/>
                <w:sz w:val="21"/>
              </w:rPr>
              <w:t>，频率为</w:t>
            </w:r>
            <w:r>
              <w:rPr>
                <w:rFonts w:ascii="宋体" w:hAnsi="宋体" w:cs="宋体" w:eastAsia="宋体"/>
                <w:sz w:val="21"/>
              </w:rPr>
              <w:t>5Hz</w:t>
            </w:r>
            <w:r>
              <w:rPr>
                <w:rFonts w:ascii="宋体" w:hAnsi="宋体" w:cs="宋体" w:eastAsia="宋体"/>
                <w:sz w:val="21"/>
              </w:rPr>
              <w:t>～</w:t>
            </w:r>
            <w:r>
              <w:rPr>
                <w:rFonts w:ascii="宋体" w:hAnsi="宋体" w:cs="宋体" w:eastAsia="宋体"/>
                <w:sz w:val="21"/>
              </w:rPr>
              <w:t>55Hz 振动试验后，应不解体、不泄漏、不爆裂，保险盖和喷嘴应不松脱。经振动试验后的催泪喷射器以正立、倒置和横放三种姿态，从1.5m高度自由跌落至水泥地面上，各试验1次，应不解体、不泄漏、不爆裂，且符合喷射性能4</w:t>
            </w:r>
            <w:r>
              <w:rPr>
                <w:rFonts w:ascii="宋体" w:hAnsi="宋体" w:cs="宋体" w:eastAsia="宋体"/>
                <w:sz w:val="21"/>
              </w:rPr>
              <w:t>.1</w:t>
            </w:r>
            <w:r>
              <w:rPr>
                <w:rFonts w:ascii="宋体" w:hAnsi="宋体" w:cs="宋体" w:eastAsia="宋体"/>
                <w:sz w:val="21"/>
              </w:rPr>
              <w:t>的要求；</w:t>
            </w:r>
          </w:p>
          <w:p>
            <w:pPr>
              <w:pStyle w:val="null3"/>
              <w:jc w:val="left"/>
            </w:pPr>
            <w:r>
              <w:rPr>
                <w:rFonts w:ascii="宋体" w:hAnsi="宋体" w:cs="宋体" w:eastAsia="宋体"/>
                <w:b/>
                <w:sz w:val="21"/>
              </w:rPr>
              <w:t>注：第</w:t>
            </w:r>
            <w:r>
              <w:rPr>
                <w:rFonts w:ascii="宋体" w:hAnsi="宋体" w:cs="宋体" w:eastAsia="宋体"/>
                <w:b/>
                <w:sz w:val="21"/>
              </w:rPr>
              <w:t>1</w:t>
            </w:r>
            <w:r>
              <w:rPr>
                <w:rFonts w:ascii="宋体" w:hAnsi="宋体" w:cs="宋体" w:eastAsia="宋体"/>
                <w:b/>
                <w:sz w:val="21"/>
              </w:rPr>
              <w:t>～</w:t>
            </w:r>
            <w:r>
              <w:rPr>
                <w:rFonts w:ascii="宋体" w:hAnsi="宋体" w:cs="宋体" w:eastAsia="宋体"/>
                <w:b/>
                <w:sz w:val="21"/>
              </w:rPr>
              <w:t>8项“</w:t>
            </w:r>
            <w:r>
              <w:rPr>
                <w:rFonts w:ascii="宋体" w:hAnsi="宋体" w:cs="宋体" w:eastAsia="宋体"/>
                <w:b/>
                <w:sz w:val="21"/>
              </w:rPr>
              <w:t>★</w:t>
            </w:r>
            <w:r>
              <w:rPr>
                <w:rFonts w:ascii="宋体" w:hAnsi="宋体" w:cs="宋体" w:eastAsia="宋体"/>
                <w:b/>
                <w:sz w:val="21"/>
              </w:rPr>
              <w:t>”号参数</w:t>
            </w:r>
            <w:r>
              <w:rPr>
                <w:rFonts w:ascii="宋体" w:hAnsi="宋体" w:cs="宋体" w:eastAsia="宋体"/>
                <w:b/>
                <w:sz w:val="21"/>
              </w:rPr>
              <w:t>投标时提供承诺函、验收时提供国家认可的第三方检测机构出具的检测报告原件或复印件</w:t>
            </w:r>
            <w:r>
              <w:rPr>
                <w:rFonts w:ascii="宋体" w:hAnsi="宋体" w:cs="宋体" w:eastAsia="宋体"/>
                <w:b/>
                <w:sz w:val="21"/>
              </w:rPr>
              <w:t>。</w:t>
            </w:r>
          </w:p>
          <w:p>
            <w:pPr>
              <w:pStyle w:val="null3"/>
              <w:jc w:val="left"/>
            </w:pPr>
            <w:r>
              <w:rPr>
                <w:rFonts w:ascii="宋体" w:hAnsi="宋体" w:cs="宋体" w:eastAsia="宋体"/>
                <w:sz w:val="21"/>
              </w:rPr>
              <w:t>★9、本产品其余性能还应符合执行标准：GA884-2018 《公安单警装备催泪喷射器》</w:t>
            </w:r>
            <w:r>
              <w:rPr>
                <w:rFonts w:ascii="宋体" w:hAnsi="宋体" w:cs="宋体" w:eastAsia="宋体"/>
                <w:sz w:val="21"/>
              </w:rPr>
              <w:t>有关</w:t>
            </w:r>
            <w:r>
              <w:rPr>
                <w:rFonts w:ascii="宋体" w:hAnsi="宋体" w:cs="宋体" w:eastAsia="宋体"/>
                <w:sz w:val="21"/>
              </w:rPr>
              <w:t>规定。</w:t>
            </w:r>
            <w:r>
              <w:rPr/>
              <w:t xml:space="preserve"> </w:t>
            </w:r>
            <w:r>
              <w:rPr>
                <w:rFonts w:ascii="宋体" w:hAnsi="宋体" w:cs="宋体" w:eastAsia="宋体"/>
                <w:b/>
                <w:sz w:val="21"/>
              </w:rPr>
              <w:t>（投标时提供国家认可的第三方检测机构出具的检测报告扫描件）</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产品生产日期应为</w:t>
            </w:r>
            <w:r>
              <w:rPr>
                <w:rFonts w:ascii="宋体" w:hAnsi="宋体" w:cs="宋体" w:eastAsia="宋体"/>
                <w:sz w:val="21"/>
              </w:rPr>
              <w:t>2024年1月1日及之后；</w:t>
            </w:r>
          </w:p>
        </w:tc>
      </w:tr>
    </w:tbl>
    <w:p>
      <w:pPr>
        <w:pStyle w:val="null3"/>
        <w:jc w:val="left"/>
      </w:pPr>
      <w:r>
        <w:rPr/>
        <w:t>标的名称：液压多功能钳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1、破拆工具的外表面光滑平整，无毛刺及加工缺陷，黑色金属表面经防锈处理；</w:t>
            </w:r>
          </w:p>
          <w:p>
            <w:pPr>
              <w:pStyle w:val="null3"/>
              <w:jc w:val="left"/>
            </w:pPr>
            <w:r>
              <w:rPr>
                <w:rFonts w:ascii="宋体" w:hAnsi="宋体" w:cs="宋体" w:eastAsia="宋体"/>
                <w:sz w:val="21"/>
              </w:rPr>
              <w:t>▲2、主要性能要求：</w:t>
            </w:r>
            <w:r>
              <w:rPr>
                <w:rFonts w:ascii="宋体" w:hAnsi="宋体" w:cs="宋体" w:eastAsia="宋体"/>
                <w:b/>
              </w:rPr>
              <w:t>（</w:t>
            </w:r>
            <w:r>
              <w:rPr>
                <w:rFonts w:ascii="宋体" w:hAnsi="宋体" w:cs="宋体" w:eastAsia="宋体"/>
                <w:b/>
                <w:sz w:val="21"/>
              </w:rPr>
              <w:t>投标时响应，验收时提供国家认可的第三方检测机构出具的检测报告原件或复印件。</w:t>
            </w:r>
            <w:r>
              <w:rPr>
                <w:rFonts w:ascii="宋体" w:hAnsi="宋体" w:cs="宋体" w:eastAsia="宋体"/>
                <w:b/>
              </w:rPr>
              <w:t>）</w:t>
            </w:r>
          </w:p>
          <w:p>
            <w:pPr>
              <w:pStyle w:val="null3"/>
              <w:jc w:val="left"/>
            </w:pPr>
            <w:r>
              <w:rPr>
                <w:rFonts w:ascii="宋体" w:hAnsi="宋体" w:cs="宋体" w:eastAsia="宋体"/>
                <w:sz w:val="21"/>
              </w:rPr>
              <w:t>2.1、剪切能力：能一次剪断直径≥35mm的Q235A圆钢；能一次剪断宽度≥50mm，厚度≥30mm的Q235A板材；</w:t>
            </w:r>
          </w:p>
          <w:p>
            <w:pPr>
              <w:pStyle w:val="null3"/>
              <w:jc w:val="left"/>
            </w:pPr>
            <w:r>
              <w:rPr>
                <w:rFonts w:ascii="宋体" w:hAnsi="宋体" w:cs="宋体" w:eastAsia="宋体"/>
                <w:sz w:val="21"/>
              </w:rPr>
              <w:t>2.2、扩张力：72±1KN-85±1KN；（测力点位置距扩张臂顶端的垂直距离为66mm）</w:t>
            </w:r>
          </w:p>
          <w:p>
            <w:pPr>
              <w:pStyle w:val="null3"/>
              <w:jc w:val="left"/>
            </w:pPr>
            <w:r>
              <w:rPr>
                <w:rFonts w:ascii="宋体" w:hAnsi="宋体" w:cs="宋体" w:eastAsia="宋体"/>
                <w:sz w:val="21"/>
              </w:rPr>
              <w:t>2.3、扩张距离：≥360mm；</w:t>
            </w:r>
          </w:p>
          <w:p>
            <w:pPr>
              <w:pStyle w:val="null3"/>
              <w:jc w:val="left"/>
            </w:pPr>
            <w:r>
              <w:rPr>
                <w:rFonts w:ascii="宋体" w:hAnsi="宋体" w:cs="宋体" w:eastAsia="宋体"/>
                <w:sz w:val="21"/>
              </w:rPr>
              <w:t>2.4、开口距离：≥280mm；</w:t>
            </w:r>
          </w:p>
          <w:p>
            <w:pPr>
              <w:pStyle w:val="null3"/>
              <w:jc w:val="left"/>
            </w:pPr>
            <w:r>
              <w:rPr>
                <w:rFonts w:ascii="宋体" w:hAnsi="宋体" w:cs="宋体" w:eastAsia="宋体"/>
                <w:sz w:val="21"/>
              </w:rPr>
              <w:t>3、破拆工具在动作过程中，若出现动力供应中断，扩张臂有自锁性能，其最大位移量为0mm；</w:t>
            </w:r>
          </w:p>
          <w:p>
            <w:pPr>
              <w:pStyle w:val="null3"/>
              <w:jc w:val="left"/>
            </w:pPr>
            <w:r>
              <w:rPr>
                <w:rFonts w:ascii="宋体" w:hAnsi="宋体" w:cs="宋体" w:eastAsia="宋体"/>
                <w:sz w:val="21"/>
              </w:rPr>
              <w:t>4、破拆工具经可靠性试验后,动作正常,无异常现象，刃口无卷曲、崩刃现象；</w:t>
            </w:r>
          </w:p>
          <w:p>
            <w:pPr>
              <w:pStyle w:val="null3"/>
              <w:jc w:val="both"/>
            </w:pPr>
            <w:r>
              <w:rPr>
                <w:rFonts w:ascii="宋体" w:hAnsi="宋体" w:cs="宋体" w:eastAsia="宋体"/>
                <w:sz w:val="21"/>
              </w:rPr>
              <w:t>5、重量：≤20.5kg（含电池及液压油）。</w:t>
            </w:r>
          </w:p>
        </w:tc>
      </w:tr>
    </w:tbl>
    <w:p>
      <w:pPr>
        <w:pStyle w:val="null3"/>
        <w:jc w:val="left"/>
      </w:pPr>
      <w:r>
        <w:rPr/>
        <w:t>标的名称：便携式切割机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1"/>
              </w:rPr>
              <w:t>1、汽缸排量：≥65cm³；</w:t>
            </w:r>
          </w:p>
          <w:p>
            <w:pPr>
              <w:pStyle w:val="null3"/>
              <w:jc w:val="both"/>
            </w:pPr>
            <w:r>
              <w:rPr>
                <w:rFonts w:ascii="宋体" w:hAnsi="宋体" w:cs="宋体" w:eastAsia="宋体"/>
                <w:sz w:val="21"/>
              </w:rPr>
              <w:t>2、汽缸缸管内径：≥51mm；</w:t>
            </w:r>
          </w:p>
          <w:p>
            <w:pPr>
              <w:pStyle w:val="null3"/>
              <w:jc w:val="both"/>
            </w:pPr>
            <w:r>
              <w:rPr>
                <w:rFonts w:ascii="宋体" w:hAnsi="宋体" w:cs="宋体" w:eastAsia="宋体"/>
                <w:sz w:val="21"/>
              </w:rPr>
              <w:t>3、空转速度：≥2700rpm；</w:t>
            </w:r>
          </w:p>
          <w:p>
            <w:pPr>
              <w:pStyle w:val="null3"/>
              <w:jc w:val="both"/>
            </w:pPr>
            <w:r>
              <w:rPr>
                <w:rFonts w:ascii="宋体" w:hAnsi="宋体" w:cs="宋体" w:eastAsia="宋体"/>
                <w:sz w:val="21"/>
              </w:rPr>
              <w:t>4、功率：≥3.5/9000w/rpm；</w:t>
            </w:r>
          </w:p>
          <w:p>
            <w:pPr>
              <w:pStyle w:val="null3"/>
              <w:jc w:val="both"/>
            </w:pPr>
            <w:r>
              <w:rPr>
                <w:rFonts w:ascii="宋体" w:hAnsi="宋体" w:cs="宋体" w:eastAsia="宋体"/>
                <w:sz w:val="21"/>
              </w:rPr>
              <w:t>5、油箱容量：≥0.7升；</w:t>
            </w:r>
          </w:p>
          <w:p>
            <w:pPr>
              <w:pStyle w:val="null3"/>
              <w:jc w:val="both"/>
            </w:pPr>
            <w:r>
              <w:rPr>
                <w:rFonts w:ascii="宋体" w:hAnsi="宋体" w:cs="宋体" w:eastAsia="宋体"/>
                <w:sz w:val="21"/>
              </w:rPr>
              <w:t>6、动力切割机（不带切割锯片或燃油）：≤9.8kg；</w:t>
            </w:r>
          </w:p>
          <w:p>
            <w:pPr>
              <w:pStyle w:val="null3"/>
              <w:jc w:val="both"/>
            </w:pPr>
            <w:r>
              <w:rPr>
                <w:rFonts w:ascii="宋体" w:hAnsi="宋体" w:cs="宋体" w:eastAsia="宋体"/>
                <w:sz w:val="21"/>
              </w:rPr>
              <w:t>7、包装尺寸：≤528mm×328mm×436mm；</w:t>
            </w:r>
          </w:p>
          <w:p>
            <w:pPr>
              <w:pStyle w:val="null3"/>
              <w:jc w:val="both"/>
            </w:pPr>
            <w:r>
              <w:rPr>
                <w:rFonts w:ascii="宋体" w:hAnsi="宋体" w:cs="宋体" w:eastAsia="宋体"/>
                <w:sz w:val="21"/>
              </w:rPr>
              <w:t>8、锯片直径：≥350mm；</w:t>
            </w:r>
          </w:p>
          <w:p>
            <w:pPr>
              <w:pStyle w:val="null3"/>
              <w:jc w:val="both"/>
            </w:pPr>
            <w:r>
              <w:rPr>
                <w:rFonts w:ascii="宋体" w:hAnsi="宋体" w:cs="宋体" w:eastAsia="宋体"/>
                <w:sz w:val="21"/>
              </w:rPr>
              <w:t>9、切割深度：≥125mm。</w:t>
            </w:r>
          </w:p>
        </w:tc>
      </w:tr>
    </w:tbl>
    <w:p>
      <w:pPr>
        <w:pStyle w:val="null3"/>
        <w:jc w:val="left"/>
      </w:pPr>
      <w:r>
        <w:rPr/>
        <w:t>标的名称：强光手电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sz w:val="21"/>
              </w:rPr>
              <w:t>★1、强光手电表面应光滑,无划痕、磨损、毛刺、油渍；镜片和反光杯应光洁，无划痕、无污渍；握柄纹路应清晰，无磕痕；手绳应无刮丝、织造疵点，塑料件应无毛刺；</w:t>
            </w:r>
          </w:p>
          <w:p>
            <w:pPr>
              <w:pStyle w:val="null3"/>
              <w:jc w:val="left"/>
            </w:pPr>
            <w:r>
              <w:rPr>
                <w:rFonts w:ascii="宋体" w:hAnsi="宋体" w:cs="宋体" w:eastAsia="宋体"/>
                <w:sz w:val="21"/>
              </w:rPr>
              <w:t>★2、强光手电采用尾盖开关，按钮区域分为照明键和爆闪键，外壳为防滚动圆柱形结构。由头盖组件(包括头盖、攻击头等)、筒身组件(包括筒身、隐藏式USB充电接口)、电池、尾盖组件(包括开关组件、4格电量提示灯)及手绳(包括调节扣)组成；</w:t>
            </w:r>
          </w:p>
          <w:p>
            <w:pPr>
              <w:pStyle w:val="null3"/>
              <w:jc w:val="left"/>
            </w:pPr>
            <w:r>
              <w:rPr>
                <w:rFonts w:ascii="宋体" w:hAnsi="宋体" w:cs="宋体" w:eastAsia="宋体"/>
                <w:sz w:val="21"/>
              </w:rPr>
              <w:t>★3、总长度154.6mm±2mm；握柄直径φ27.5mm±1mm；头盖外径φ35mm±1mm；挂绳长度155mm±5mm；</w:t>
            </w:r>
          </w:p>
          <w:p>
            <w:pPr>
              <w:pStyle w:val="null3"/>
              <w:jc w:val="left"/>
            </w:pPr>
            <w:r>
              <w:rPr>
                <w:rFonts w:ascii="宋体" w:hAnsi="宋体" w:cs="宋体" w:eastAsia="宋体"/>
                <w:sz w:val="21"/>
              </w:rPr>
              <w:t>★4、质量：≤230g；</w:t>
            </w:r>
          </w:p>
          <w:p>
            <w:pPr>
              <w:pStyle w:val="null3"/>
              <w:jc w:val="left"/>
            </w:pPr>
            <w:r>
              <w:rPr>
                <w:rFonts w:ascii="宋体" w:hAnsi="宋体" w:cs="宋体" w:eastAsia="宋体"/>
                <w:sz w:val="21"/>
              </w:rPr>
              <w:t>★5、电源：1节18650可充电锂离子电池；</w:t>
            </w:r>
          </w:p>
          <w:p>
            <w:pPr>
              <w:pStyle w:val="null3"/>
              <w:jc w:val="left"/>
            </w:pPr>
            <w:r>
              <w:rPr>
                <w:rFonts w:ascii="宋体" w:hAnsi="宋体" w:cs="宋体" w:eastAsia="宋体"/>
                <w:sz w:val="21"/>
              </w:rPr>
              <w:t>★6、强光初始光通量≥160 lm；强光初始照度≥180 lx；</w:t>
            </w:r>
            <w:r>
              <w:rPr/>
              <w:t xml:space="preserve"> </w:t>
            </w:r>
          </w:p>
          <w:p>
            <w:pPr>
              <w:pStyle w:val="null3"/>
              <w:jc w:val="left"/>
            </w:pPr>
            <w:r>
              <w:rPr>
                <w:rFonts w:ascii="宋体" w:hAnsi="宋体" w:cs="宋体" w:eastAsia="宋体"/>
                <w:sz w:val="21"/>
              </w:rPr>
              <w:t>★7、强光爆闪频率：8Hz</w:t>
            </w:r>
            <w:r>
              <w:rPr>
                <w:rFonts w:ascii="宋体" w:hAnsi="宋体" w:cs="宋体" w:eastAsia="宋体"/>
                <w:sz w:val="21"/>
              </w:rPr>
              <w:t>～</w:t>
            </w:r>
            <w:r>
              <w:rPr>
                <w:rFonts w:ascii="宋体" w:hAnsi="宋体" w:cs="宋体" w:eastAsia="宋体"/>
                <w:sz w:val="21"/>
              </w:rPr>
              <w:t>10Hz；</w:t>
            </w:r>
          </w:p>
          <w:p>
            <w:pPr>
              <w:pStyle w:val="null3"/>
              <w:jc w:val="left"/>
            </w:pPr>
            <w:r>
              <w:rPr>
                <w:rFonts w:ascii="宋体" w:hAnsi="宋体" w:cs="宋体" w:eastAsia="宋体"/>
                <w:sz w:val="21"/>
              </w:rPr>
              <w:t>★8、光束角：6</w:t>
            </w:r>
            <w:r>
              <w:rPr>
                <w:rFonts w:ascii="宋体" w:hAnsi="宋体" w:cs="宋体" w:eastAsia="宋体"/>
                <w:sz w:val="21"/>
              </w:rPr>
              <w:t>°～</w:t>
            </w:r>
            <w:r>
              <w:rPr>
                <w:rFonts w:ascii="宋体" w:hAnsi="宋体" w:cs="宋体" w:eastAsia="宋体"/>
                <w:sz w:val="21"/>
              </w:rPr>
              <w:t>9°；</w:t>
            </w:r>
          </w:p>
          <w:p>
            <w:pPr>
              <w:pStyle w:val="null3"/>
              <w:jc w:val="left"/>
            </w:pPr>
            <w:r>
              <w:rPr>
                <w:rFonts w:ascii="宋体" w:hAnsi="宋体" w:cs="宋体" w:eastAsia="宋体"/>
                <w:sz w:val="21"/>
              </w:rPr>
              <w:t>★9、外壳温升：≤25K；</w:t>
            </w:r>
          </w:p>
          <w:p>
            <w:pPr>
              <w:pStyle w:val="null3"/>
              <w:jc w:val="left"/>
            </w:pPr>
            <w:r>
              <w:rPr>
                <w:rFonts w:ascii="宋体" w:hAnsi="宋体" w:cs="宋体" w:eastAsia="宋体"/>
                <w:sz w:val="21"/>
              </w:rPr>
              <w:t>★10、密封性：0.5m水下实验1h，内部不进水，能正常使用；</w:t>
            </w:r>
          </w:p>
          <w:p>
            <w:pPr>
              <w:pStyle w:val="null3"/>
              <w:jc w:val="left"/>
            </w:pPr>
            <w:r>
              <w:rPr>
                <w:rFonts w:ascii="宋体" w:hAnsi="宋体" w:cs="宋体" w:eastAsia="宋体"/>
                <w:sz w:val="21"/>
              </w:rPr>
              <w:t>★11、</w:t>
            </w:r>
            <w:r>
              <w:rPr>
                <w:rFonts w:ascii="宋体" w:hAnsi="宋体" w:cs="宋体" w:eastAsia="宋体"/>
                <w:sz w:val="21"/>
              </w:rPr>
              <w:t>跌落</w:t>
            </w:r>
            <w:r>
              <w:rPr>
                <w:rFonts w:ascii="宋体" w:hAnsi="宋体" w:cs="宋体" w:eastAsia="宋体"/>
                <w:sz w:val="21"/>
              </w:rPr>
              <w:t>可靠性：强光手电以水平状态、头部向下状态和尾部向下</w:t>
            </w:r>
            <w:r>
              <w:rPr>
                <w:rFonts w:ascii="宋体" w:hAnsi="宋体" w:cs="宋体" w:eastAsia="宋体"/>
                <w:sz w:val="21"/>
              </w:rPr>
              <w:t>3种姿态，从1.5m高度自由跌落至水泥地面上，各试验3次，强光手电无裂纹、破碎，氮化硅球不脱落，</w:t>
            </w:r>
            <w:r>
              <w:rPr>
                <w:rFonts w:ascii="宋体" w:hAnsi="宋体" w:cs="宋体" w:eastAsia="宋体"/>
                <w:sz w:val="21"/>
              </w:rPr>
              <w:t>且符合</w:t>
            </w:r>
            <w:r>
              <w:rPr>
                <w:rFonts w:ascii="宋体" w:hAnsi="宋体" w:cs="宋体" w:eastAsia="宋体"/>
                <w:sz w:val="21"/>
              </w:rPr>
              <w:t>GA883-2018中</w:t>
            </w:r>
            <w:r>
              <w:rPr>
                <w:rFonts w:ascii="宋体" w:hAnsi="宋体" w:cs="宋体" w:eastAsia="宋体"/>
                <w:sz w:val="21"/>
              </w:rPr>
              <w:t>5</w:t>
            </w:r>
            <w:r>
              <w:rPr>
                <w:rFonts w:ascii="宋体" w:hAnsi="宋体" w:cs="宋体" w:eastAsia="宋体"/>
                <w:sz w:val="21"/>
              </w:rPr>
              <w:t>.9.1的要求</w:t>
            </w:r>
            <w:r>
              <w:rPr>
                <w:rFonts w:ascii="宋体" w:hAnsi="宋体" w:cs="宋体" w:eastAsia="宋体"/>
                <w:sz w:val="21"/>
              </w:rPr>
              <w:t>；</w:t>
            </w:r>
          </w:p>
          <w:p>
            <w:pPr>
              <w:pStyle w:val="null3"/>
              <w:jc w:val="left"/>
            </w:pPr>
            <w:r>
              <w:rPr>
                <w:rFonts w:ascii="宋体" w:hAnsi="宋体" w:cs="宋体" w:eastAsia="宋体"/>
                <w:sz w:val="21"/>
              </w:rPr>
              <w:t>★12、外壳强度：</w:t>
            </w:r>
            <w:r>
              <w:rPr>
                <w:rFonts w:ascii="宋体" w:hAnsi="宋体" w:cs="宋体" w:eastAsia="宋体"/>
                <w:sz w:val="21"/>
              </w:rPr>
              <w:t>强光</w:t>
            </w:r>
            <w:r>
              <w:rPr>
                <w:rFonts w:ascii="宋体" w:hAnsi="宋体" w:cs="宋体" w:eastAsia="宋体"/>
                <w:sz w:val="21"/>
              </w:rPr>
              <w:t>手电外壳应能承受</w:t>
            </w:r>
            <w:r>
              <w:rPr>
                <w:rFonts w:ascii="宋体" w:hAnsi="宋体" w:cs="宋体" w:eastAsia="宋体"/>
                <w:sz w:val="21"/>
              </w:rPr>
              <w:t>9</w:t>
            </w:r>
            <w:r>
              <w:rPr>
                <w:rFonts w:ascii="宋体" w:hAnsi="宋体" w:cs="宋体" w:eastAsia="宋体"/>
                <w:sz w:val="21"/>
              </w:rPr>
              <w:t>80N的径向压力后，强光手电不应变形，能正常使用，且符合</w:t>
            </w:r>
            <w:r>
              <w:rPr>
                <w:rFonts w:ascii="宋体" w:hAnsi="宋体" w:cs="宋体" w:eastAsia="宋体"/>
                <w:sz w:val="21"/>
              </w:rPr>
              <w:t>GA883-2018中</w:t>
            </w:r>
            <w:r>
              <w:rPr>
                <w:rFonts w:ascii="宋体" w:hAnsi="宋体" w:cs="宋体" w:eastAsia="宋体"/>
                <w:sz w:val="21"/>
              </w:rPr>
              <w:t>5</w:t>
            </w:r>
            <w:r>
              <w:rPr>
                <w:rFonts w:ascii="宋体" w:hAnsi="宋体" w:cs="宋体" w:eastAsia="宋体"/>
                <w:sz w:val="21"/>
              </w:rPr>
              <w:t>.9.1的要求</w:t>
            </w:r>
            <w:r>
              <w:rPr>
                <w:rFonts w:ascii="宋体" w:hAnsi="宋体" w:cs="宋体" w:eastAsia="宋体"/>
                <w:sz w:val="21"/>
              </w:rPr>
              <w:t>；</w:t>
            </w:r>
          </w:p>
          <w:p>
            <w:pPr>
              <w:pStyle w:val="null3"/>
              <w:jc w:val="left"/>
            </w:pPr>
            <w:r>
              <w:rPr>
                <w:rFonts w:ascii="宋体" w:hAnsi="宋体" w:cs="宋体" w:eastAsia="宋体"/>
                <w:sz w:val="21"/>
              </w:rPr>
              <w:t>★13、充电插头插拔3000次，不应变形，能正常充电；</w:t>
            </w:r>
          </w:p>
          <w:p>
            <w:pPr>
              <w:pStyle w:val="null3"/>
              <w:jc w:val="left"/>
            </w:pPr>
            <w:r>
              <w:rPr>
                <w:rFonts w:ascii="宋体" w:hAnsi="宋体" w:cs="宋体" w:eastAsia="宋体"/>
                <w:sz w:val="21"/>
              </w:rPr>
              <w:t>★14、碎玻璃</w:t>
            </w:r>
            <w:r>
              <w:rPr>
                <w:rFonts w:ascii="宋体" w:hAnsi="宋体" w:cs="宋体" w:eastAsia="宋体"/>
                <w:sz w:val="21"/>
              </w:rPr>
              <w:t>功能</w:t>
            </w:r>
            <w:r>
              <w:rPr>
                <w:rFonts w:ascii="宋体" w:hAnsi="宋体" w:cs="宋体" w:eastAsia="宋体"/>
                <w:sz w:val="21"/>
              </w:rPr>
              <w:t>：攻击头的氮化硅球部位应能击碎</w:t>
            </w:r>
            <w:r>
              <w:rPr>
                <w:rFonts w:ascii="宋体" w:hAnsi="宋体" w:cs="宋体" w:eastAsia="宋体"/>
                <w:sz w:val="21"/>
              </w:rPr>
              <w:t>5mm厚钢化玻璃，氮化硅球不掉落，不碎裂，且符合</w:t>
            </w:r>
            <w:r>
              <w:rPr>
                <w:rFonts w:ascii="宋体" w:hAnsi="宋体" w:cs="宋体" w:eastAsia="宋体"/>
                <w:sz w:val="21"/>
              </w:rPr>
              <w:t>GA883-2018中</w:t>
            </w:r>
            <w:r>
              <w:rPr>
                <w:rFonts w:ascii="宋体" w:hAnsi="宋体" w:cs="宋体" w:eastAsia="宋体"/>
                <w:sz w:val="21"/>
              </w:rPr>
              <w:t>5</w:t>
            </w:r>
            <w:r>
              <w:rPr>
                <w:rFonts w:ascii="宋体" w:hAnsi="宋体" w:cs="宋体" w:eastAsia="宋体"/>
                <w:sz w:val="21"/>
              </w:rPr>
              <w:t>.9.1的要求</w:t>
            </w:r>
            <w:r>
              <w:rPr>
                <w:rFonts w:ascii="宋体" w:hAnsi="宋体" w:cs="宋体" w:eastAsia="宋体"/>
                <w:sz w:val="21"/>
              </w:rPr>
              <w:t>；</w:t>
            </w:r>
          </w:p>
          <w:p>
            <w:pPr>
              <w:pStyle w:val="null3"/>
              <w:jc w:val="left"/>
            </w:pPr>
            <w:r>
              <w:rPr>
                <w:rFonts w:ascii="宋体" w:hAnsi="宋体" w:cs="宋体" w:eastAsia="宋体"/>
                <w:b/>
                <w:sz w:val="21"/>
              </w:rPr>
              <w:t>注：第</w:t>
            </w:r>
            <w:r>
              <w:rPr>
                <w:rFonts w:ascii="宋体" w:hAnsi="宋体" w:cs="宋体" w:eastAsia="宋体"/>
                <w:b/>
                <w:sz w:val="21"/>
              </w:rPr>
              <w:t>1</w:t>
            </w:r>
            <w:r>
              <w:rPr>
                <w:rFonts w:ascii="宋体" w:hAnsi="宋体" w:cs="宋体" w:eastAsia="宋体"/>
                <w:b/>
                <w:sz w:val="21"/>
              </w:rPr>
              <w:t>项～第</w:t>
            </w:r>
            <w:r>
              <w:rPr>
                <w:rFonts w:ascii="宋体" w:hAnsi="宋体" w:cs="宋体" w:eastAsia="宋体"/>
                <w:b/>
                <w:sz w:val="21"/>
              </w:rPr>
              <w:t>14</w:t>
            </w:r>
            <w:r>
              <w:rPr>
                <w:rFonts w:ascii="宋体" w:hAnsi="宋体" w:cs="宋体" w:eastAsia="宋体"/>
                <w:b/>
                <w:sz w:val="21"/>
              </w:rPr>
              <w:t>项</w:t>
            </w:r>
            <w:r>
              <w:rPr>
                <w:rFonts w:ascii="宋体" w:hAnsi="宋体" w:cs="宋体" w:eastAsia="宋体"/>
                <w:b/>
                <w:sz w:val="21"/>
              </w:rPr>
              <w:t>“★”号参数，投标时提供承诺函</w:t>
            </w:r>
            <w:r>
              <w:rPr>
                <w:rFonts w:ascii="宋体" w:hAnsi="宋体" w:cs="宋体" w:eastAsia="宋体"/>
                <w:b/>
                <w:sz w:val="21"/>
              </w:rPr>
              <w:t>，</w:t>
            </w:r>
            <w:r>
              <w:rPr>
                <w:rFonts w:ascii="宋体" w:hAnsi="宋体" w:cs="宋体" w:eastAsia="宋体"/>
                <w:b/>
                <w:sz w:val="21"/>
              </w:rPr>
              <w:t>验收时提供国家认可的第三方检测机构出具的检测报告原件或复印件。</w:t>
            </w:r>
          </w:p>
          <w:p>
            <w:pPr>
              <w:pStyle w:val="null3"/>
              <w:jc w:val="both"/>
            </w:pPr>
            <w:r>
              <w:rPr>
                <w:rFonts w:ascii="宋体" w:hAnsi="宋体" w:cs="宋体" w:eastAsia="宋体"/>
                <w:sz w:val="21"/>
              </w:rPr>
              <w:t>★15、除以上参数外，本产品还应符合执行标准：GA883-2018《公安单警装备强光手电》中战术型强光手电有关技术要求</w:t>
            </w:r>
            <w:r>
              <w:rPr>
                <w:rFonts w:ascii="宋体" w:hAnsi="宋体" w:cs="宋体" w:eastAsia="宋体"/>
                <w:b/>
                <w:sz w:val="21"/>
              </w:rPr>
              <w:t>（投标时提供国家认可的第三方检测机构出具的检测报告扫描件）</w:t>
            </w:r>
            <w:r>
              <w:rPr>
                <w:rFonts w:ascii="宋体" w:hAnsi="宋体" w:cs="宋体" w:eastAsia="宋体"/>
                <w:sz w:val="21"/>
              </w:rPr>
              <w:t>。</w:t>
            </w:r>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评分因素内容</w:t>
            </w:r>
          </w:p>
        </w:tc>
        <w:tc>
          <w:tcPr>
            <w:tcW w:type="dxa" w:w="2076"/>
          </w:tcPr>
          <w:p>
            <w:pPr>
              <w:pStyle w:val="null3"/>
              <w:jc w:val="left"/>
            </w:pPr>
            <w:r>
              <w:rPr/>
              <w:t>（1）项目实施方案：投标人提供项目实施方案，具有①突发事件处置方案、②应急预案等内容。</w:t>
            </w:r>
          </w:p>
          <w:p>
            <w:pPr>
              <w:pStyle w:val="null3"/>
              <w:jc w:val="left"/>
            </w:pPr>
            <w:r>
              <w:rPr/>
              <w:t>（2）售后服务：标人提供的售后服务方案，具有①巡检制度、②保修计划、③服务质量控制及措施、④培训措施、⑤技术支持措施。</w:t>
            </w:r>
          </w:p>
          <w:p>
            <w:pPr>
              <w:pStyle w:val="null3"/>
              <w:jc w:val="left"/>
            </w:pPr>
            <w:r>
              <w:rPr/>
              <w:t>（3）履约能力：投标人自 2021年1月1日至投标文件截止日以来具有类似业绩。</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合同签订生效后的20日内完成货物的安装调试并交采购人验收。</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成都市文武路136号。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一次付清</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支付约定</w:t>
            </w:r>
          </w:p>
        </w:tc>
        <w:tc>
          <w:tcPr>
            <w:tcW w:type="dxa" w:w="2076"/>
          </w:tcPr>
          <w:p>
            <w:pPr>
              <w:pStyle w:val="null3"/>
              <w:jc w:val="left"/>
            </w:pPr>
            <w:r>
              <w:rPr/>
              <w:t>1、货物验收并安装调试完成、经采购人验收合格后，达到付款条件起10个工作日，支付合同总金额的100%。 付款前提：采购人收到供应商出具的合法有效完整的完税发票及付款凭证后予以办理款项支付的事宜，否则采购人付款时间顺延，且不承担任何违约责任，达到付款条件起10日内，支付合同总金额的100.00%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1）验收组织方式：自行验收 2）是否邀请本项目的其他供应商：否 3）是否邀请专家：否 4）是否邀请服务对象：是 5）是否邀请第三方检测机构：否 6）履约验收程序：一次性验收 7）履约验收时间：供应商提出验收申请之日起15日内组织验收 8）验收组织的其他事项：无。 9）技术履约验收内容：按照本项目招标文件中“技术、服务要求”及中标人投标文件进行验收。 10）商务履约验收内容：按照本项目招标文件中“商务要求”及中标人投标文件进行验收。 11）履约验收标准： 由采购人组织，严格按照《财政部关于进一步加强政府采购需求和履约验收管理的指导意见》（财库〔2016〕205号）等政府采购相关法律法规的要求进行验收。 12）履约验收其他事项：①供应商应将所提供货物的装箱清单、配件、随机工具、用户使用手册、原厂保修卡、等资料（如有）交付给采购人同时将相关检验、检测报告原件或复印件交给采购人查验；供应商不能完整交付货物及本款规定的单证和工具的，必须负责补齐，否则视为未按合同约定交货。如质量验收合格，双方签署质量验收书。②参数中要求在验收时提供检测报告的，以中标人实际响应的技术参数作为验收内容，验收时所提供的检测报告中须体现中标人实际响应的技术参数内容。 举例：以防弹头盔中侧向刚性为例，本招标文件中的▲参数“侧向刚性方面盔壳最大变形量≤6.0mm，残余变形量≤1.1mm”是优于GA 293-2012中的要求，如中标人投标时响应招标文件要求，验收时提供符合中标人实际响应内容的检测报告。</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6.1售后服务要求： 1）供应商应提供技术支持与服务体系，并能提供本地化服务。 2）提供7×24小时的售后服务。接到采购人报修应2小时内响应，6小时内到达现场，12小时内不能完成维修的应提供备用货物。 3）故障问题解决后24小时内，应向采购人提交问题处理报告，说明问题种类、问题原因、问题解决中使用的方法及造成的损失等情况。 4）在质保期内，供应商对所提供的货物提供每年不少于2次的巡检和维护保养。当采购人有重要活动时，供应商应当提供现场技术保障服务。 5）供应商承诺项目全部设备的各种部件均保证齐备、充足供应，若因设备升级更新等原因不能保障供应造成采购人损失的，供应商承担全部赔偿责任。 6.2质量要求： 1）供应商须提供全新的、未使用过的货物（含零部件、配件等），表面无划伤、无碰撞痕迹，且权属清楚，不得侵害他人的知识产权。 2）每台货物上均应有产品质量检验合格标志。 3）货物制造质量出现问题，供应商应负责三包（包修、包换、包退），费用由供应商负担。 4）货物必须符合或优于国家（行业）标准，以及技术指标与出厂标准。 6.3保修期：验收合格之日起1年。</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一、违约责任 1、甲乙双方必须遵守本合同并执行合同中的各项规定，保证本合同的正常履行，不得擅自中止或解除合同，任何一方出现单方面解约行为，违约方须向守约方支付合同总价10%的违约金。 2、乙方交付货物如经甲方验收不合格的或不符合合同及招标文件要求的，甲方有权解除本合同，不再支付任何费用，乙方还应向甲方支付本合同总价10%的违约金。 3、乙方不能交付货物或逾期交付货物而违约的，除应及时交足货物外，应向甲方偿付逾期交货部分货款总额的万分之一/天的违约金；逾期交货超过10天，甲方有权解除合同，不再支付任何费用并且乙方还应再按合同总价的10%的款额向甲方支付违约金。 4、乙方货物（包括甲方使用过程中）经甲方送交具有法定资格条件的质量技术监督机构检测后，如检测结果认定货物质量不符合本合同规定标准的，甲方有权解除本合同，乙方还应另付合同总价的10%的违约金给甲方，并须全额退还甲方已经付给乙方的货款及其利息。 5、乙方保证本合同货物的权利无瑕疵，包括货物所有权及知识产权等权利无瑕疵。如任何第三方经法院（或仲裁机构）裁决有权对上述货物主张权利或国家机关依法对货物进行没收查处的，乙方须全额退还甲方已经付给乙方的货款及其利息，还应另按合同总价的10%向甲方支付违约金并赔偿因此给甲方造成的一切损失。 6、乙方未按合同约定提供售后服务及培训服务的，应支付甲方合同总价的10%的违约金，且甲方有权委托第三方进行服务，相关费用由乙方承担。 7、乙方不得将本项目转包或分包给任意第三人，一经发现，甲方有权解除合同，乙方须全额退还甲方已经付给乙方的货款及其利息，还应另按合同总价的10%向甲方支付违约金并赔偿因此给甲方造成的一切损失。 8、如因乙方工作人员在履行职务过程中的疏忽、失职、过错等故意或者过失原因给甲方造成损失或侵害，包括但不限于甲方本身的财产损失、由此而导致的甲方对任何第三方的法律责任等，乙方对此均应承担全部的赔偿责任。 9、乙方偿付的违约金不足以弥补甲方损失的，还应按甲方损失尚未弥补的部分，支付赔偿金给甲方。 二、争议解决办法 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2、合同履行期间,若双方发生争议，可协商或由有关部门调解解决，协商或调解不成的，双方可提交成都仲裁委员会仲裁。</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3.5.其他要求</w:t>
      </w:r>
    </w:p>
    <w:p>
      <w:pPr>
        <w:pStyle w:val="null3"/>
        <w:jc w:val="left"/>
      </w:pPr>
      <w:r>
        <w:rPr/>
        <w:t>★1、支付约定（因系统固化原因，3.4.2中支付约定不适用于本项目，支付约定以此为准）付款条件说明：付款方式为货物验收并安装调试完成、经采购人验收合格后，达到付款条件起10个工作日，支付合同总金额的100%。 付款前提：采购人收到供应商出具的合法有效完整的完税发票及付款凭证后予以办理款项支付的事宜，否则采购人付款时间顺延，且不承担任何违约责任。 ★2、培训要求：供应商安装调试完毕后，应对采购人进行货物的使用、操作培训不少于三次直至采购人能够独立操作使用产品。</w:t>
      </w:r>
    </w:p>
    <w:p>
      <w:pPr>
        <w:pStyle w:val="null3"/>
      </w:pPr>
      <w:r>
        <w:rPr/>
        <w:t xml:space="preserve"> </w:t>
        <w:br/>
        <w:br w:type="page"/>
      </w:r>
    </w:p>
    <w:p>
      <w:pPr>
        <w:pStyle w:val="null3"/>
        <w:jc w:val="center"/>
        <w:outlineLvl w:val="1"/>
      </w:pPr>
      <w:r>
        <w:rPr>
          <w:b/>
          <w:sz w:val="36"/>
        </w:rPr>
        <w:t>第四章 资格审查</w:t>
      </w:r>
    </w:p>
    <w:p>
      <w:pPr>
        <w:pStyle w:val="null3"/>
        <w:jc w:val="left"/>
      </w:pPr>
      <w:r>
        <w:rPr/>
        <w:t>开标解密完成后，由采购人、代理机构依据法律法规和招标文件的规定，对成功解密的投标文件中供应商资格证明等进行审查，出具资格审查报告。资格审查标准及要求如下：</w:t>
      </w:r>
    </w:p>
    <w:p>
      <w:pPr>
        <w:pStyle w:val="null3"/>
        <w:jc w:val="left"/>
        <w:outlineLvl w:val="2"/>
      </w:pPr>
      <w:r>
        <w:rPr>
          <w:b/>
          <w:sz w:val="28"/>
        </w:rPr>
        <w:t>4.1.一般资格审查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投标人需在使用投标(响应)客户端编制投标文件时，按要求上传相应证明材料并进行电子签章。</w:t>
            </w:r>
          </w:p>
        </w:tc>
        <w:tc>
          <w:tcPr>
            <w:tcW w:type="dxa" w:w="1910"/>
          </w:tcPr>
          <w:p>
            <w:pPr>
              <w:pStyle w:val="null3"/>
              <w:jc w:val="left"/>
            </w:pPr>
            <w:r>
              <w:rPr/>
              <w:t>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不属于为本项目提供整体设计、规范编制或者项目管理、监理、检测等服务的投标人。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bl>
    <w:p>
      <w:pPr>
        <w:pStyle w:val="null3"/>
        <w:jc w:val="left"/>
        <w:outlineLvl w:val="2"/>
      </w:pPr>
      <w:r>
        <w:rPr>
          <w:b/>
          <w:sz w:val="28"/>
        </w:rPr>
        <w:t>4.2.落实政府采购政策资格审查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本采购包专门面向中小企业采购(监狱企业、残疾人福利性单位均视同小微企业，符合中小企业划分标准的个体工商户视同中小企业)，非中小企业参与的将视为无效响应〔中小企业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t>中小企业声明函 残疾人福利性单位声明函 监狱企业的证明文件</w:t>
            </w:r>
          </w:p>
        </w:tc>
      </w:tr>
    </w:tbl>
    <w:p>
      <w:pPr>
        <w:pStyle w:val="null3"/>
        <w:jc w:val="left"/>
        <w:outlineLvl w:val="2"/>
      </w:pPr>
      <w:r>
        <w:rPr>
          <w:b/>
          <w:sz w:val="28"/>
        </w:rPr>
        <w:t>4.3.特定资格审查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t>二、评标工作由代理机构负责组织，具体评标事务由采购人或者代理机构依法组建的评标委员会负责。评标委员会由采购人代表和评审专家组成。</w:t>
      </w:r>
    </w:p>
    <w:p>
      <w:pPr>
        <w:pStyle w:val="null3"/>
        <w:ind w:firstLine="480"/>
        <w:jc w:val="left"/>
      </w:pPr>
      <w:r>
        <w:rPr/>
        <w:t>三、评标工作应遵循公平、公正、科学及择优的原则，并以相同的评标程序和标准对待所有的投标人。</w:t>
      </w:r>
    </w:p>
    <w:p>
      <w:pPr>
        <w:pStyle w:val="null3"/>
        <w:ind w:firstLine="480"/>
        <w:jc w:val="left"/>
      </w:pPr>
      <w:r>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b/>
          <w:sz w:val="28"/>
        </w:rPr>
        <w:t>5.2.评标委员会</w:t>
      </w:r>
    </w:p>
    <w:p>
      <w:pPr>
        <w:pStyle w:val="null3"/>
        <w:ind w:firstLine="480"/>
        <w:jc w:val="left"/>
      </w:pPr>
      <w:r>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t>四、评标委员会按照招标文件规定的评标程序、评标方法和标准进行评标，并独立履行下列职责：</w:t>
      </w:r>
    </w:p>
    <w:p>
      <w:pPr>
        <w:pStyle w:val="null3"/>
        <w:ind w:firstLine="480"/>
        <w:jc w:val="left"/>
      </w:pPr>
      <w:r>
        <w:rPr/>
        <w:t>(一)熟悉和理解招标文件；</w:t>
      </w:r>
    </w:p>
    <w:p>
      <w:pPr>
        <w:pStyle w:val="null3"/>
        <w:ind w:firstLine="480"/>
        <w:jc w:val="left"/>
      </w:pPr>
      <w:r>
        <w:rPr/>
        <w:t>(二)审查、评价投标文件是否符合招标文件的商务、技术等实质性要求；</w:t>
      </w:r>
    </w:p>
    <w:p>
      <w:pPr>
        <w:pStyle w:val="null3"/>
        <w:ind w:firstLine="480"/>
        <w:jc w:val="left"/>
      </w:pPr>
      <w:r>
        <w:rPr/>
        <w:t>(三)对投标文件进行比较和评价；</w:t>
      </w:r>
    </w:p>
    <w:p>
      <w:pPr>
        <w:pStyle w:val="null3"/>
        <w:ind w:firstLine="480"/>
        <w:jc w:val="left"/>
      </w:pPr>
      <w:r>
        <w:rPr/>
        <w:t>(四)根据需要要求采购人、代理机构对招标文件作出解释；根据需要要求投标人对投标文件有关事项作出澄清、说明或者补正；</w:t>
      </w:r>
    </w:p>
    <w:p>
      <w:pPr>
        <w:pStyle w:val="null3"/>
        <w:ind w:firstLine="480"/>
        <w:jc w:val="left"/>
      </w:pPr>
      <w:r>
        <w:rPr/>
        <w:t>(五)确定中标候选人名单，以及根据采购人委托直接确定中标人；</w:t>
      </w:r>
    </w:p>
    <w:p>
      <w:pPr>
        <w:pStyle w:val="null3"/>
        <w:ind w:firstLine="480"/>
        <w:jc w:val="left"/>
      </w:pPr>
      <w:r>
        <w:rPr/>
        <w:t>(六)起草评标报告并进行签署；</w:t>
      </w:r>
    </w:p>
    <w:p>
      <w:pPr>
        <w:pStyle w:val="null3"/>
        <w:ind w:firstLine="480"/>
        <w:jc w:val="left"/>
      </w:pPr>
      <w:r>
        <w:rPr/>
        <w:t>(七)向采购人、代理机构或者有关部门报告评标中发现的违法行为；</w:t>
      </w:r>
    </w:p>
    <w:p>
      <w:pPr>
        <w:pStyle w:val="null3"/>
        <w:ind w:firstLine="480"/>
        <w:jc w:val="left"/>
      </w:pPr>
      <w:r>
        <w:rPr/>
        <w:t>(八)法律、法规和规章规定的其他职责。</w:t>
      </w:r>
    </w:p>
    <w:p>
      <w:pPr>
        <w:pStyle w:val="null3"/>
        <w:jc w:val="left"/>
        <w:outlineLvl w:val="2"/>
      </w:pPr>
      <w:r>
        <w:rPr>
          <w:b/>
          <w:sz w:val="28"/>
        </w:rPr>
        <w:t>5.3.评标程序</w:t>
      </w:r>
    </w:p>
    <w:p>
      <w:pPr>
        <w:pStyle w:val="null3"/>
        <w:jc w:val="left"/>
        <w:outlineLvl w:val="3"/>
      </w:pPr>
      <w:r>
        <w:rPr>
          <w:b/>
          <w:sz w:val="24"/>
        </w:rPr>
        <w:t>5.3.1.熟悉和理解招标文件</w:t>
      </w:r>
    </w:p>
    <w:p>
      <w:pPr>
        <w:pStyle w:val="null3"/>
        <w:ind w:firstLine="480"/>
        <w:jc w:val="left"/>
      </w:pPr>
      <w:r>
        <w:rPr/>
        <w:t>评标委员会正式评审前，应当对招标文件进行熟悉和理解，内容主要包括招标文件中采购项目技术、服务和商务要求、评审方法和标准以及可能涉及签订政府采购合同的内容等。</w:t>
      </w:r>
    </w:p>
    <w:p>
      <w:pPr>
        <w:pStyle w:val="null3"/>
        <w:jc w:val="left"/>
        <w:outlineLvl w:val="3"/>
      </w:pPr>
      <w:r>
        <w:rPr>
          <w:b/>
          <w:sz w:val="24"/>
        </w:rPr>
        <w:t>5.3.2.停止评标的情形</w:t>
      </w:r>
    </w:p>
    <w:p>
      <w:pPr>
        <w:pStyle w:val="null3"/>
        <w:ind w:firstLine="480"/>
        <w:jc w:val="left"/>
      </w:pPr>
      <w:r>
        <w:rPr/>
        <w:t>本招标文件有下列情形之一的，评标委员会应当停止评标：</w:t>
      </w:r>
    </w:p>
    <w:p>
      <w:pPr>
        <w:pStyle w:val="null3"/>
        <w:ind w:firstLine="480"/>
        <w:jc w:val="left"/>
      </w:pPr>
      <w:r>
        <w:rPr/>
        <w:t>一、招标文件的规定存在歧义、重大缺陷的；</w:t>
      </w:r>
    </w:p>
    <w:p>
      <w:pPr>
        <w:pStyle w:val="null3"/>
        <w:ind w:firstLine="480"/>
        <w:jc w:val="left"/>
      </w:pPr>
      <w:r>
        <w:rPr/>
        <w:t>二、招标文件明显以不合理条件对投标人实行差别待遇或者歧视待遇的；</w:t>
      </w:r>
    </w:p>
    <w:p>
      <w:pPr>
        <w:pStyle w:val="null3"/>
        <w:ind w:firstLine="480"/>
        <w:jc w:val="left"/>
      </w:pPr>
      <w:r>
        <w:rPr/>
        <w:t>三、采购项目属于国家规定的优先、强制采购范围，但是招标文件未依法体现优先、强制采购相关规定的；</w:t>
      </w:r>
    </w:p>
    <w:p>
      <w:pPr>
        <w:pStyle w:val="null3"/>
        <w:ind w:firstLine="480"/>
        <w:jc w:val="left"/>
      </w:pPr>
      <w:r>
        <w:rPr/>
        <w:t>四、采购项目属于政府采购促进中小企业发展的范围，但是招标文件未依法体现促进中小企业发展相关规定的；</w:t>
      </w:r>
    </w:p>
    <w:p>
      <w:pPr>
        <w:pStyle w:val="null3"/>
        <w:ind w:firstLine="480"/>
        <w:jc w:val="left"/>
      </w:pPr>
      <w:r>
        <w:rPr/>
        <w:t>五、招标文件规定的评标方法是综合评分法、最低评标价法之外的评标方法，或者虽然名称为综合评分法、最低评标价法，但实际上不符合国家规定；</w:t>
      </w:r>
    </w:p>
    <w:p>
      <w:pPr>
        <w:pStyle w:val="null3"/>
        <w:ind w:firstLine="480"/>
        <w:jc w:val="left"/>
      </w:pPr>
      <w:r>
        <w:rPr/>
        <w:t>六、招标文件将投标人的资格条件列为评分因素的；</w:t>
      </w:r>
    </w:p>
    <w:p>
      <w:pPr>
        <w:pStyle w:val="null3"/>
        <w:ind w:firstLine="480"/>
        <w:jc w:val="left"/>
      </w:pPr>
      <w:r>
        <w:rPr/>
        <w:t>七、招标文件有违反国家其他有关强制性规定的情形。</w:t>
      </w:r>
    </w:p>
    <w:p>
      <w:pPr>
        <w:pStyle w:val="null3"/>
        <w:ind w:firstLine="480"/>
        <w:jc w:val="left"/>
      </w:pPr>
      <w:r>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t>出现上述应当停止评标情形的，采购人、代理机构应当将停止评标的情形和具体原因通过交易系统告知参加采购活动的供应商，并在四川政府采购网公告。采购人、代理机构认为评标委员会不应当停止评标的，可以书面报告采购项目同级财政部门依法处理，并提供相关证明材料。</w:t>
      </w:r>
    </w:p>
    <w:p>
      <w:pPr>
        <w:pStyle w:val="null3"/>
        <w:jc w:val="left"/>
        <w:outlineLvl w:val="3"/>
      </w:pPr>
      <w:r>
        <w:rPr>
          <w:b/>
          <w:sz w:val="24"/>
        </w:rPr>
        <w:t>5.3.3.符合性审查★</w:t>
      </w:r>
    </w:p>
    <w:p>
      <w:pPr>
        <w:pStyle w:val="null3"/>
        <w:ind w:firstLine="480"/>
        <w:jc w:val="left"/>
      </w:pPr>
      <w:r>
        <w:rPr/>
        <w:t>评标委员会依据本招标文件的符合性审查要求，对符合资格要求投标人的投标文件进行符合性审查。</w:t>
      </w:r>
    </w:p>
    <w:p>
      <w:pPr>
        <w:pStyle w:val="null3"/>
        <w:ind w:firstLine="480"/>
        <w:jc w:val="left"/>
      </w:pPr>
      <w:r>
        <w:rPr/>
        <w:t>在符合性审查过程中，如果出现评标委员会成员意见不一致的情况，按照少数服从多数的原则确定，但不得违背政府采购基本原则和招标文件规定。</w:t>
      </w:r>
    </w:p>
    <w:p>
      <w:pPr>
        <w:pStyle w:val="null3"/>
        <w:ind w:firstLine="480"/>
        <w:jc w:val="left"/>
      </w:pPr>
      <w:r>
        <w:rPr/>
        <w:t>符合性审查标准见下表（按以下顺序审查）：</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除招标文件中的明确要求进行单独响应或承诺的实质性要求外，对于其他实质性要求，供应商在《投标（响应）函》中以“我单位完全接受和理解本项目采购文件规定的实质性要求”进行承诺即视为响应。</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不正当竞争预防措施（实质性要求）</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报价表</w:t>
            </w:r>
          </w:p>
        </w:tc>
      </w:tr>
      <w:tr>
        <w:tc>
          <w:tcPr>
            <w:tcW w:type="dxa" w:w="581"/>
          </w:tcPr>
          <w:p>
            <w:pPr>
              <w:pStyle w:val="null3"/>
              <w:jc w:val="center"/>
            </w:pPr>
            <w:r>
              <w:rPr/>
              <w:t>3</w:t>
            </w:r>
          </w:p>
        </w:tc>
        <w:tc>
          <w:tcPr>
            <w:tcW w:type="dxa" w:w="2492"/>
          </w:tcPr>
          <w:p>
            <w:pPr>
              <w:pStyle w:val="null3"/>
              <w:jc w:val="left"/>
            </w:pPr>
            <w:r>
              <w:rPr/>
              <w:t>符合招标文件的实质性要求</w:t>
            </w:r>
          </w:p>
        </w:tc>
        <w:tc>
          <w:tcPr>
            <w:tcW w:type="dxa" w:w="3322"/>
          </w:tcPr>
          <w:p>
            <w:pPr>
              <w:pStyle w:val="null3"/>
              <w:jc w:val="left"/>
            </w:pPr>
            <w:r>
              <w:rPr/>
              <w:t>投标人按照招标文件要求上传相应证明材料</w:t>
            </w:r>
          </w:p>
        </w:tc>
        <w:tc>
          <w:tcPr>
            <w:tcW w:type="dxa" w:w="1910"/>
          </w:tcPr>
          <w:p>
            <w:pPr>
              <w:pStyle w:val="null3"/>
              <w:jc w:val="left"/>
            </w:pPr>
            <w:r>
              <w:rPr/>
              <w:t>供应商认为需要提供的其他证明材料 产品技术参数响应表 商务应答表 投标（响应）函</w:t>
            </w:r>
          </w:p>
        </w:tc>
      </w:tr>
      <w:tr>
        <w:tc>
          <w:tcPr>
            <w:tcW w:type="dxa" w:w="581"/>
          </w:tcPr>
          <w:p>
            <w:pPr>
              <w:pStyle w:val="null3"/>
              <w:jc w:val="center"/>
            </w:pPr>
            <w:r>
              <w:rPr/>
              <w:t>4</w:t>
            </w:r>
          </w:p>
        </w:tc>
        <w:tc>
          <w:tcPr>
            <w:tcW w:type="dxa" w:w="2492"/>
          </w:tcPr>
          <w:p>
            <w:pPr>
              <w:pStyle w:val="null3"/>
              <w:jc w:val="left"/>
            </w:pPr>
            <w:r>
              <w:rPr/>
              <w:t>不属于招标文件规定的无效情形</w:t>
            </w:r>
          </w:p>
        </w:tc>
        <w:tc>
          <w:tcPr>
            <w:tcW w:type="dxa" w:w="3322"/>
          </w:tcPr>
          <w:p>
            <w:pPr>
              <w:pStyle w:val="null3"/>
              <w:jc w:val="left"/>
            </w:pPr>
            <w:r>
              <w:rPr/>
              <w:t>投标人按照招标文件要求上传相应证明材料</w:t>
            </w:r>
          </w:p>
        </w:tc>
        <w:tc>
          <w:tcPr>
            <w:tcW w:type="dxa" w:w="1910"/>
          </w:tcPr>
          <w:p>
            <w:pPr>
              <w:pStyle w:val="null3"/>
              <w:jc w:val="left"/>
            </w:pPr>
            <w:r>
              <w:rPr/>
              <w:t>供应商认为需要提供的其他证明材料 投标（响应）函</w:t>
            </w:r>
          </w:p>
        </w:tc>
      </w:tr>
      <w:tr>
        <w:tc>
          <w:tcPr>
            <w:tcW w:type="dxa" w:w="581"/>
          </w:tcPr>
          <w:p>
            <w:pPr>
              <w:pStyle w:val="null3"/>
              <w:jc w:val="center"/>
            </w:pPr>
            <w:r>
              <w:rPr/>
              <w:t>5</w:t>
            </w:r>
          </w:p>
        </w:tc>
        <w:tc>
          <w:tcPr>
            <w:tcW w:type="dxa" w:w="2492"/>
          </w:tcPr>
          <w:p>
            <w:pPr>
              <w:pStyle w:val="null3"/>
              <w:jc w:val="left"/>
            </w:pPr>
            <w:r>
              <w:rPr/>
              <w:t>符合招标文件 3.3 技术要求中★条款</w:t>
            </w:r>
          </w:p>
        </w:tc>
        <w:tc>
          <w:tcPr>
            <w:tcW w:type="dxa" w:w="3322"/>
          </w:tcPr>
          <w:p>
            <w:pPr>
              <w:pStyle w:val="null3"/>
              <w:jc w:val="left"/>
            </w:pPr>
            <w:r>
              <w:rPr/>
              <w:t>投标人按照招标文件要求上传相应证明材料</w:t>
            </w:r>
          </w:p>
        </w:tc>
        <w:tc>
          <w:tcPr>
            <w:tcW w:type="dxa" w:w="1910"/>
          </w:tcPr>
          <w:p>
            <w:pPr>
              <w:pStyle w:val="null3"/>
              <w:jc w:val="left"/>
            </w:pPr>
            <w:r>
              <w:rPr/>
              <w:t>供应商认为需要提供的其他证明材料 产品技术参数响应表</w:t>
            </w:r>
          </w:p>
        </w:tc>
      </w:tr>
      <w:tr>
        <w:tc>
          <w:tcPr>
            <w:tcW w:type="dxa" w:w="581"/>
          </w:tcPr>
          <w:p>
            <w:pPr>
              <w:pStyle w:val="null3"/>
              <w:jc w:val="center"/>
            </w:pPr>
            <w:r>
              <w:rPr/>
              <w:t>6</w:t>
            </w:r>
          </w:p>
        </w:tc>
        <w:tc>
          <w:tcPr>
            <w:tcW w:type="dxa" w:w="2492"/>
          </w:tcPr>
          <w:p>
            <w:pPr>
              <w:pStyle w:val="null3"/>
              <w:jc w:val="left"/>
            </w:pPr>
            <w:r>
              <w:rPr/>
              <w:t>符合招标文件3.4.2.商务要求、3.5.其他要求中★条款</w:t>
            </w:r>
          </w:p>
        </w:tc>
        <w:tc>
          <w:tcPr>
            <w:tcW w:type="dxa" w:w="3322"/>
          </w:tcPr>
          <w:p>
            <w:pPr>
              <w:pStyle w:val="null3"/>
              <w:jc w:val="left"/>
            </w:pPr>
            <w:r>
              <w:rPr/>
              <w:t>投标人按照招标文件要求上传相应证明材料</w:t>
            </w:r>
          </w:p>
        </w:tc>
        <w:tc>
          <w:tcPr>
            <w:tcW w:type="dxa" w:w="1910"/>
          </w:tcPr>
          <w:p>
            <w:pPr>
              <w:pStyle w:val="null3"/>
              <w:jc w:val="left"/>
            </w:pPr>
            <w:r>
              <w:rPr/>
              <w:t>供应商认为需要提供的其他证明材料 商务应答表</w:t>
            </w:r>
          </w:p>
        </w:tc>
      </w:tr>
      <w:tr>
        <w:tc>
          <w:tcPr>
            <w:tcW w:type="dxa" w:w="581"/>
          </w:tcPr>
          <w:p>
            <w:pPr>
              <w:pStyle w:val="null3"/>
              <w:jc w:val="center"/>
            </w:pPr>
            <w:r>
              <w:rPr/>
              <w:t>7</w:t>
            </w:r>
          </w:p>
        </w:tc>
        <w:tc>
          <w:tcPr>
            <w:tcW w:type="dxa" w:w="2492"/>
          </w:tcPr>
          <w:p>
            <w:pPr>
              <w:pStyle w:val="null3"/>
              <w:jc w:val="left"/>
            </w:pPr>
            <w:r>
              <w:rPr/>
              <w:t>未载明或者载明的标的名称、数量、计量单位、规格型号及其他政府采购合同实质性内容与采购文件要求不一致，且采购单位无法接受的，属于无效响应。</w:t>
            </w:r>
          </w:p>
        </w:tc>
        <w:tc>
          <w:tcPr>
            <w:tcW w:type="dxa" w:w="3322"/>
          </w:tcPr>
          <w:p>
            <w:pPr>
              <w:pStyle w:val="null3"/>
              <w:jc w:val="left"/>
            </w:pPr>
            <w:r>
              <w:rPr/>
              <w:t>未载明或者载明的标的名称、数量、计量单位、规格型号及其他政府采购合同实质性内容与采购文件要求不一致，且采购单位无法接受的，属于无效响应。</w:t>
            </w:r>
          </w:p>
        </w:tc>
        <w:tc>
          <w:tcPr>
            <w:tcW w:type="dxa" w:w="1910"/>
          </w:tcPr>
          <w:p>
            <w:pPr>
              <w:pStyle w:val="null3"/>
              <w:jc w:val="left"/>
            </w:pPr>
            <w:r>
              <w:rPr/>
              <w:t>报价表</w:t>
            </w:r>
          </w:p>
        </w:tc>
      </w:tr>
    </w:tbl>
    <w:p>
      <w:pPr>
        <w:pStyle w:val="null3"/>
        <w:ind w:firstLine="480"/>
        <w:jc w:val="left"/>
      </w:pPr>
      <w:r>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b/>
          <w:sz w:val="24"/>
        </w:rPr>
        <w:t>5.3.4解释、澄清、说明有关问题</w:t>
      </w:r>
    </w:p>
    <w:p>
      <w:pPr>
        <w:pStyle w:val="null3"/>
        <w:ind w:firstLine="480"/>
        <w:jc w:val="left"/>
      </w:pPr>
      <w:r>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t>三、投标文件报价出现前后不一致的，除招标文件另有规定外，按照下列规定修正：</w:t>
      </w:r>
    </w:p>
    <w:p>
      <w:pPr>
        <w:pStyle w:val="null3"/>
        <w:ind w:firstLine="480"/>
        <w:jc w:val="left"/>
      </w:pPr>
      <w:r>
        <w:rPr/>
        <w:t>（一）投标文件中报价表内容与投标文件中相应内容不一致的，以报价表为准；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同时出现两种以上不一致的，按照前款规定的顺序修正。修正后的报价经投标人经交易系统加盖电子印章确认提交后生效产生约束力。</w:t>
      </w:r>
    </w:p>
    <w:p>
      <w:pPr>
        <w:pStyle w:val="null3"/>
        <w:ind w:firstLine="480"/>
        <w:jc w:val="left"/>
      </w:pPr>
      <w:r>
        <w:rPr/>
        <w:t>四、对不同语言文本投标文件的解释发生异议的，以中文文本为准。</w:t>
      </w:r>
    </w:p>
    <w:p>
      <w:pPr>
        <w:pStyle w:val="null3"/>
        <w:ind w:firstLine="480"/>
        <w:jc w:val="left"/>
      </w:pPr>
      <w:r>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b/>
          <w:sz w:val="24"/>
        </w:rPr>
        <w:t>5.3.5.比较与评价</w:t>
      </w:r>
    </w:p>
    <w:p>
      <w:pPr>
        <w:pStyle w:val="null3"/>
        <w:ind w:firstLine="480"/>
        <w:jc w:val="left"/>
      </w:pPr>
      <w:r>
        <w:rPr/>
        <w:t>评标委员会应当按照招标文件规定的评标细则及标准，对符合性审查合格的投标文件进行商务和技术评估，综合比较和评价。</w:t>
      </w:r>
    </w:p>
    <w:p>
      <w:pPr>
        <w:pStyle w:val="null3"/>
        <w:jc w:val="left"/>
        <w:outlineLvl w:val="3"/>
      </w:pPr>
      <w:r>
        <w:rPr>
          <w:b/>
          <w:sz w:val="24"/>
        </w:rPr>
        <w:t>5.3.6.评标委员会复核</w:t>
      </w:r>
    </w:p>
    <w:p>
      <w:pPr>
        <w:pStyle w:val="null3"/>
        <w:ind w:firstLine="480"/>
        <w:jc w:val="left"/>
      </w:pPr>
      <w:r>
        <w:rPr/>
        <w:t>评分汇总结束后，评标委员会应当进行复核，对拟推荐为中标候选人的、报价最低的、投标文件被认定为无效的进行重点复核。</w:t>
      </w:r>
    </w:p>
    <w:p>
      <w:pPr>
        <w:pStyle w:val="null3"/>
        <w:jc w:val="left"/>
        <w:outlineLvl w:val="3"/>
      </w:pPr>
      <w:r>
        <w:rPr>
          <w:b/>
          <w:sz w:val="24"/>
        </w:rPr>
        <w:t>5.3.7.代理机构现场复核评审结果</w:t>
      </w:r>
    </w:p>
    <w:p>
      <w:pPr>
        <w:pStyle w:val="null3"/>
        <w:ind w:firstLine="480"/>
        <w:jc w:val="left"/>
      </w:pPr>
      <w:r>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t>三、代理机构复核过程中，评标委员会成员不得离开评审现场。</w:t>
      </w:r>
    </w:p>
    <w:p>
      <w:pPr>
        <w:pStyle w:val="null3"/>
        <w:ind w:firstLine="480"/>
        <w:jc w:val="left"/>
      </w:pPr>
      <w:r>
        <w:rPr/>
        <w:t>四、除资格审查认定错误、分值汇总计算错误、分项评分超出评分标准范围、评标委员会成员对客观评审因素评分不一致的、经评标委员会一致认定评分畸高、畸低的情形外，采购人或者代理机构不得以任何理由组织重新评审。代理机构发现评标委员会未按照招标文件规定的评审标准进行评审的，应当重新开展采购活动，并同时书面报告项目同级财政部门。</w:t>
      </w:r>
    </w:p>
    <w:p>
      <w:pPr>
        <w:pStyle w:val="null3"/>
        <w:jc w:val="left"/>
        <w:outlineLvl w:val="3"/>
      </w:pPr>
      <w:r>
        <w:rPr>
          <w:b/>
          <w:sz w:val="24"/>
        </w:rPr>
        <w:t>5.3.8.确定中标候选人名单</w:t>
      </w:r>
    </w:p>
    <w:p>
      <w:pPr>
        <w:pStyle w:val="null3"/>
        <w:jc w:val="left"/>
      </w:pPr>
      <w:r>
        <w:rPr/>
        <w:t>采购包1：</w:t>
      </w:r>
      <w:r>
        <w:rPr/>
        <w:t>确定3名中标候选人。</w:t>
      </w:r>
    </w:p>
    <w:p>
      <w:pPr>
        <w:pStyle w:val="null3"/>
        <w:ind w:firstLine="480"/>
        <w:jc w:val="left"/>
      </w:pPr>
      <w:r>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1名投标人参加评标，其他投标无效。</w:t>
      </w:r>
    </w:p>
    <w:p>
      <w:pPr>
        <w:pStyle w:val="null3"/>
        <w:jc w:val="left"/>
        <w:outlineLvl w:val="3"/>
      </w:pPr>
      <w:r>
        <w:rPr>
          <w:b/>
          <w:sz w:val="24"/>
        </w:rPr>
        <w:t>5.3.9.出具评标报告</w:t>
      </w:r>
    </w:p>
    <w:p>
      <w:pPr>
        <w:pStyle w:val="null3"/>
        <w:ind w:firstLine="480"/>
        <w:jc w:val="left"/>
      </w:pPr>
      <w:r>
        <w:rPr/>
        <w:t>评标报告是评标委员会根据全体评标成员签署的评标记录和评标结果编写的报告，其主要内容包括：</w:t>
      </w:r>
    </w:p>
    <w:p>
      <w:pPr>
        <w:pStyle w:val="null3"/>
        <w:ind w:firstLine="480"/>
        <w:jc w:val="left"/>
      </w:pPr>
      <w:r>
        <w:rPr/>
        <w:t>一、招标公告刊登的媒体名称、开标日期和地点；</w:t>
      </w:r>
    </w:p>
    <w:p>
      <w:pPr>
        <w:pStyle w:val="null3"/>
        <w:ind w:firstLine="480"/>
        <w:jc w:val="left"/>
      </w:pPr>
      <w:r>
        <w:rPr/>
        <w:t>二、投标人名单和评标委员会成员名单；</w:t>
      </w:r>
    </w:p>
    <w:p>
      <w:pPr>
        <w:pStyle w:val="null3"/>
        <w:ind w:firstLine="480"/>
        <w:jc w:val="left"/>
      </w:pPr>
      <w:r>
        <w:rPr/>
        <w:t>三、评标方法和标准；</w:t>
      </w:r>
    </w:p>
    <w:p>
      <w:pPr>
        <w:pStyle w:val="null3"/>
        <w:ind w:firstLine="480"/>
        <w:jc w:val="left"/>
      </w:pPr>
      <w:r>
        <w:rPr/>
        <w:t>四、开标记录和评标情况及说明，包括投标无效投标人名单及原因；</w:t>
      </w:r>
    </w:p>
    <w:p>
      <w:pPr>
        <w:pStyle w:val="null3"/>
        <w:ind w:firstLine="480"/>
        <w:jc w:val="left"/>
      </w:pPr>
      <w:r>
        <w:rPr/>
        <w:t>五、评标结果，确定的中标候选人名单或者经采购人委托直接确定的中标人</w:t>
      </w:r>
    </w:p>
    <w:p>
      <w:pPr>
        <w:pStyle w:val="null3"/>
        <w:ind w:firstLine="480"/>
        <w:jc w:val="left"/>
      </w:pPr>
      <w:r>
        <w:rPr/>
        <w:t>六、其他需要说明的情况，包括评标过程中投标人根据评标委员会要求进行的澄清、说明或者补正，评标委员会成员的更换等；</w:t>
      </w:r>
    </w:p>
    <w:p>
      <w:pPr>
        <w:pStyle w:val="null3"/>
        <w:ind w:firstLine="480"/>
        <w:jc w:val="left"/>
      </w:pPr>
      <w:r>
        <w:rPr/>
        <w:t>七、报价最高的投标人为中标候选人的，评标委员会应当对其报价的合理性予以特别说明。</w:t>
      </w:r>
    </w:p>
    <w:p>
      <w:pPr>
        <w:pStyle w:val="null3"/>
        <w:ind w:firstLine="480"/>
        <w:jc w:val="left"/>
      </w:pPr>
      <w:r>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jc w:val="left"/>
        <w:outlineLvl w:val="3"/>
      </w:pPr>
      <w:r>
        <w:rPr>
          <w:b/>
          <w:sz w:val="24"/>
        </w:rPr>
        <w:t>5.3.10.评标争议处理规则</w:t>
      </w:r>
    </w:p>
    <w:p>
      <w:pPr>
        <w:pStyle w:val="null3"/>
        <w:ind w:firstLine="480"/>
        <w:jc w:val="left"/>
      </w:pPr>
      <w:r>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b/>
          <w:sz w:val="28"/>
        </w:rPr>
        <w:t>5.4.评标方法、细则及标准</w:t>
      </w:r>
    </w:p>
    <w:p>
      <w:pPr>
        <w:pStyle w:val="null3"/>
        <w:ind w:firstLine="480"/>
        <w:jc w:val="left"/>
      </w:pPr>
      <w:r>
        <w:rPr/>
        <w:t>评标委员会应当按照客观、公正、审慎的原则，根据招标文件规定的评标程序、评标方法和评标标准进行独立评审。</w:t>
      </w:r>
    </w:p>
    <w:p>
      <w:pPr>
        <w:pStyle w:val="null3"/>
        <w:jc w:val="left"/>
        <w:outlineLvl w:val="3"/>
      </w:pPr>
      <w:r>
        <w:rPr>
          <w:b/>
          <w:sz w:val="24"/>
        </w:rPr>
        <w:t>5.4.1.评分办法</w:t>
      </w:r>
    </w:p>
    <w:p>
      <w:pPr>
        <w:pStyle w:val="null3"/>
        <w:ind w:firstLine="480"/>
        <w:jc w:val="left"/>
      </w:pPr>
      <w:r>
        <w:rPr/>
        <w:t>（一）若采用综合评分法的，由评标委员会各成员对通过资格审查和符合性审查的投标人的投标文件进行独立评标。</w:t>
      </w:r>
    </w:p>
    <w:p>
      <w:pPr>
        <w:pStyle w:val="null3"/>
        <w:ind w:firstLine="960"/>
        <w:jc w:val="left"/>
      </w:pPr>
      <w:r>
        <w:rPr/>
        <w:t>投标报价得分=(评标基准价／投标报价)×100</w:t>
      </w:r>
    </w:p>
    <w:p>
      <w:pPr>
        <w:pStyle w:val="null3"/>
        <w:ind w:firstLine="960"/>
        <w:jc w:val="left"/>
      </w:pPr>
      <w:r>
        <w:rPr/>
        <w:t>评标总得分＝F1×A1＋F2×A2＋……＋Fn×An</w:t>
      </w:r>
    </w:p>
    <w:p>
      <w:pPr>
        <w:pStyle w:val="null3"/>
        <w:ind w:firstLine="960"/>
        <w:jc w:val="left"/>
      </w:pPr>
      <w:r>
        <w:rPr/>
        <w:t>F1、F2……Fn分别为各项评审因素的得分；</w:t>
      </w:r>
    </w:p>
    <w:p>
      <w:pPr>
        <w:pStyle w:val="null3"/>
        <w:ind w:firstLine="960"/>
        <w:jc w:val="left"/>
      </w:pPr>
      <w:r>
        <w:rPr/>
        <w:t>A1、A2、……An 分别为各项评审因素所占的权重（A1＋A2＋……＋An＝1）。</w:t>
      </w:r>
    </w:p>
    <w:p>
      <w:pPr>
        <w:pStyle w:val="null3"/>
        <w:ind w:firstLine="480"/>
        <w:jc w:val="left"/>
      </w:pPr>
      <w:r>
        <w:rPr/>
        <w:t>评标过程中，不得去掉报价中的最高报价和最低报价。</w:t>
      </w:r>
    </w:p>
    <w:p>
      <w:pPr>
        <w:pStyle w:val="null3"/>
        <w:ind w:firstLine="480"/>
        <w:jc w:val="left"/>
      </w:pPr>
      <w:r>
        <w:rPr/>
        <w:t>说明：</w:t>
      </w:r>
    </w:p>
    <w:p>
      <w:pPr>
        <w:pStyle w:val="null3"/>
        <w:ind w:firstLine="480"/>
        <w:jc w:val="left"/>
      </w:pPr>
      <w:r>
        <w:rPr/>
        <w:t>1.评分的取值按四舍五入法，保留小数点后两位；</w:t>
      </w:r>
    </w:p>
    <w:p>
      <w:pPr>
        <w:pStyle w:val="null3"/>
        <w:ind w:firstLine="480"/>
        <w:jc w:val="left"/>
      </w:pPr>
      <w:r>
        <w:rPr/>
        <w:t>2.评分标准中要求提供的证明材料须清晰可辨。</w:t>
      </w:r>
    </w:p>
    <w:p>
      <w:pPr>
        <w:pStyle w:val="null3"/>
        <w:ind w:firstLine="480"/>
        <w:jc w:val="left"/>
      </w:pPr>
      <w:r>
        <w:rPr/>
        <w:t>因落实政府采购政策进行价格调整的，以调整后的价格计算评标基准价和投标报价。</w:t>
      </w:r>
    </w:p>
    <w:p>
      <w:pPr>
        <w:pStyle w:val="null3"/>
        <w:ind w:firstLine="480"/>
        <w:jc w:val="left"/>
      </w:pPr>
      <w:r>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b/>
          <w:sz w:val="24"/>
        </w:rPr>
        <w:t>5.4.2.评标细则及标准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详细评审55.00分</w:t>
            </w:r>
          </w:p>
          <w:p>
            <w:pPr>
              <w:pStyle w:val="null3"/>
              <w:jc w:val="left"/>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技术、服务要求</w:t>
            </w:r>
          </w:p>
        </w:tc>
        <w:tc>
          <w:tcPr>
            <w:tcW w:type="dxa" w:w="2575"/>
          </w:tcPr>
          <w:p>
            <w:pPr>
              <w:pStyle w:val="null3"/>
              <w:jc w:val="left"/>
            </w:pPr>
            <w:r>
              <w:rPr/>
              <w:t>完全符合招标文件第三章3.3技术要求没有负偏离得38分，各项响应得分规则如下： 一般技术参数条款响应得分=（投标人满足一般技术参数条款的数量÷一般技术参数条款的总数量）×10分 投标人针对本项目“技术服务要求”中“▲”技术参数条款的响应得分规则如下： “▲”技术参数条款响应得分=（投标人满足“▲”技术参数条款的数量÷ “▲”技术参数条款的总数量）×28分 注意： ① 一般参数条款指的是未标注“▲”“★”的技术条款。 ②“▲”条款投标时响应，验收时提供国家认可的第三方检测机构出具的检测报告原件或复印件。 ③以“技术、服务要求”中一级序号数字（如 “1.”“2.”“3.”……）各为一项（标题除外）；数字序号下有多级序号的，以最小级数字序号（如 “1.1”“1.2”“1.3”……）各为1项。 ④标注“★”的技术条款为本项目的实质性要求，投标人不满足将作无效投标处理，不参与本项评分。</w:t>
            </w:r>
          </w:p>
        </w:tc>
        <w:tc>
          <w:tcPr>
            <w:tcW w:type="dxa" w:w="831"/>
          </w:tcPr>
          <w:p>
            <w:pPr>
              <w:pStyle w:val="null3"/>
              <w:jc w:val="center"/>
            </w:pPr>
            <w:r>
              <w:rPr/>
              <w:t>38.00</w:t>
            </w:r>
          </w:p>
        </w:tc>
        <w:tc>
          <w:tcPr>
            <w:tcW w:type="dxa" w:w="748"/>
          </w:tcPr>
          <w:p>
            <w:pPr>
              <w:pStyle w:val="null3"/>
              <w:jc w:val="center"/>
            </w:pPr>
            <w:r>
              <w:rPr/>
              <w:t>客观</w:t>
            </w:r>
          </w:p>
        </w:tc>
        <w:tc>
          <w:tcPr>
            <w:tcW w:type="dxa" w:w="1661"/>
          </w:tcPr>
          <w:p>
            <w:pPr>
              <w:pStyle w:val="null3"/>
              <w:jc w:val="left"/>
            </w:pPr>
            <w:r>
              <w:rPr/>
              <w:t>供应商认为需要提供的其他证明材料</w:t>
            </w:r>
          </w:p>
          <w:p>
            <w:pPr>
              <w:pStyle w:val="null3"/>
              <w:jc w:val="left"/>
            </w:pPr>
            <w:r>
              <w:rPr/>
              <w:t>产品技术参数响应表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投标人提供的项目实施方案中具有①突发事件处置方案、②应急预案等内容齐全且无缺陷的得5分；每缺一项内容扣2.5分，每有一项存在缺陷（缺陷是指存在项目名称错误、地点区域错误、内容与本项目需求无关、方案内容矛盾或表述前后不一致、仅有框架或标题、适用的标准（方法）错误、明显复制其他项目内容等任意一种情形）的扣1.25分，扣完为止；未提供不得分。</w:t>
            </w:r>
          </w:p>
        </w:tc>
        <w:tc>
          <w:tcPr>
            <w:tcW w:type="dxa" w:w="831"/>
          </w:tcPr>
          <w:p>
            <w:pPr>
              <w:pStyle w:val="null3"/>
              <w:jc w:val="center"/>
            </w:pPr>
            <w:r>
              <w:rPr/>
              <w:t>5.00</w:t>
            </w:r>
          </w:p>
        </w:tc>
        <w:tc>
          <w:tcPr>
            <w:tcW w:type="dxa" w:w="748"/>
          </w:tcPr>
          <w:p>
            <w:pPr>
              <w:pStyle w:val="null3"/>
              <w:jc w:val="center"/>
            </w:pPr>
            <w:r>
              <w:rPr/>
              <w:t>主观</w:t>
            </w:r>
          </w:p>
        </w:tc>
        <w:tc>
          <w:tcPr>
            <w:tcW w:type="dxa" w:w="1661"/>
          </w:tcPr>
          <w:p>
            <w:pPr>
              <w:pStyle w:val="null3"/>
              <w:jc w:val="left"/>
            </w:pPr>
            <w:r>
              <w:rPr/>
              <w:t>供应商认为需要提供的其他证明材料</w:t>
            </w:r>
          </w:p>
        </w:tc>
      </w:tr>
      <w:tr>
        <w:tc>
          <w:tcPr>
            <w:tcW w:type="dxa" w:w="831"/>
            <w:vMerge/>
          </w:tcPr>
          <w:p/>
        </w:tc>
        <w:tc>
          <w:tcPr>
            <w:tcW w:type="dxa" w:w="1661"/>
          </w:tcPr>
          <w:p>
            <w:pPr>
              <w:pStyle w:val="null3"/>
              <w:jc w:val="left"/>
            </w:pPr>
            <w:r>
              <w:rPr/>
              <w:t>售后服务</w:t>
            </w:r>
          </w:p>
        </w:tc>
        <w:tc>
          <w:tcPr>
            <w:tcW w:type="dxa" w:w="2575"/>
          </w:tcPr>
          <w:p>
            <w:pPr>
              <w:pStyle w:val="null3"/>
              <w:jc w:val="left"/>
            </w:pPr>
            <w:r>
              <w:rPr/>
              <w:t>投标人提供的售后服务方案中具有①巡检制度、②保修计划、③服务质量控制及措施、④培训措施、⑤技术支持措施，内容齐全且无缺陷的得 10分；每缺一项内容扣2分；每有一项存在缺陷（缺陷是指存在项目名称错误、地点区域错误、内容与本项目需求无关、方案内容矛盾或表述前后不一致、仅有框架或标题、适用的标准（方法）错误、明显复制其他项目内容等任意一种情形）的扣1分；扣完为止，未提供不得分。</w:t>
            </w:r>
          </w:p>
        </w:tc>
        <w:tc>
          <w:tcPr>
            <w:tcW w:type="dxa" w:w="831"/>
          </w:tcPr>
          <w:p>
            <w:pPr>
              <w:pStyle w:val="null3"/>
              <w:jc w:val="center"/>
            </w:pPr>
            <w:r>
              <w:rPr/>
              <w:t>10.00</w:t>
            </w:r>
          </w:p>
        </w:tc>
        <w:tc>
          <w:tcPr>
            <w:tcW w:type="dxa" w:w="748"/>
          </w:tcPr>
          <w:p>
            <w:pPr>
              <w:pStyle w:val="null3"/>
              <w:jc w:val="center"/>
            </w:pPr>
            <w:r>
              <w:rPr/>
              <w:t>客观</w:t>
            </w:r>
          </w:p>
        </w:tc>
        <w:tc>
          <w:tcPr>
            <w:tcW w:type="dxa" w:w="1661"/>
          </w:tcPr>
          <w:p>
            <w:pPr>
              <w:pStyle w:val="null3"/>
              <w:jc w:val="left"/>
            </w:pPr>
            <w:r>
              <w:rPr/>
              <w:t>供应商认为需要提供的其他证明材料</w:t>
            </w:r>
          </w:p>
        </w:tc>
      </w:tr>
      <w:tr>
        <w:tc>
          <w:tcPr>
            <w:tcW w:type="dxa" w:w="831"/>
            <w:vMerge/>
          </w:tcPr>
          <w:p/>
        </w:tc>
        <w:tc>
          <w:tcPr>
            <w:tcW w:type="dxa" w:w="1661"/>
          </w:tcPr>
          <w:p>
            <w:pPr>
              <w:pStyle w:val="null3"/>
              <w:jc w:val="left"/>
            </w:pPr>
            <w:r>
              <w:rPr/>
              <w:t>履约能力</w:t>
            </w:r>
          </w:p>
        </w:tc>
        <w:tc>
          <w:tcPr>
            <w:tcW w:type="dxa" w:w="2575"/>
          </w:tcPr>
          <w:p>
            <w:pPr>
              <w:pStyle w:val="null3"/>
              <w:jc w:val="left"/>
            </w:pPr>
            <w:r>
              <w:rPr/>
              <w:t>投标人自 2021年1月1日至投标文件截止日以来具有类似业绩的,每提供一个合同扫描件或中标/成交通知书扫描件得 1 分，本项最高得2分；没有或未提供的不得分。 类似业绩：指本项目采购标的（任一标的均可）。</w:t>
            </w:r>
          </w:p>
        </w:tc>
        <w:tc>
          <w:tcPr>
            <w:tcW w:type="dxa" w:w="831"/>
          </w:tcPr>
          <w:p>
            <w:pPr>
              <w:pStyle w:val="null3"/>
              <w:jc w:val="center"/>
            </w:pPr>
            <w:r>
              <w:rPr/>
              <w:t>2.00</w:t>
            </w:r>
          </w:p>
        </w:tc>
        <w:tc>
          <w:tcPr>
            <w:tcW w:type="dxa" w:w="748"/>
          </w:tcPr>
          <w:p>
            <w:pPr>
              <w:pStyle w:val="null3"/>
              <w:jc w:val="center"/>
            </w:pPr>
            <w:r>
              <w:rPr/>
              <w:t>客观</w:t>
            </w:r>
          </w:p>
        </w:tc>
        <w:tc>
          <w:tcPr>
            <w:tcW w:type="dxa" w:w="1661"/>
          </w:tcPr>
          <w:p>
            <w:pPr>
              <w:pStyle w:val="null3"/>
              <w:jc w:val="left"/>
            </w:pPr>
            <w:r>
              <w:rPr/>
              <w:t>供应商认为需要提供的其他证明材料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满足招标文件要求且投标价格最低的报价为评标基准价，其价格分为满分。其他投标人的价格分统一按照下列公式计算：投标报价得分=(评标基准价／投标报价)×45×100%。</w:t>
            </w:r>
          </w:p>
        </w:tc>
        <w:tc>
          <w:tcPr>
            <w:tcW w:type="dxa" w:w="831"/>
          </w:tcPr>
          <w:p>
            <w:pPr>
              <w:pStyle w:val="null3"/>
              <w:jc w:val="center"/>
            </w:pPr>
            <w:r>
              <w:rPr/>
              <w:t>45.00</w:t>
            </w:r>
          </w:p>
        </w:tc>
        <w:tc>
          <w:tcPr>
            <w:tcW w:type="dxa" w:w="748"/>
          </w:tcPr>
          <w:p>
            <w:pPr>
              <w:pStyle w:val="null3"/>
              <w:jc w:val="center"/>
            </w:pPr>
            <w:r>
              <w:rPr/>
              <w:t>客观</w:t>
            </w:r>
          </w:p>
        </w:tc>
        <w:tc>
          <w:tcPr>
            <w:tcW w:type="dxa" w:w="1661"/>
          </w:tcPr>
          <w:p>
            <w:pPr>
              <w:pStyle w:val="null3"/>
              <w:jc w:val="left"/>
            </w:pPr>
            <w:r>
              <w:rPr/>
              <w:t>报价表</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6"/>
          </w:tcPr>
          <w:p>
            <w:pPr>
              <w:pStyle w:val="null3"/>
              <w:jc w:val="left"/>
            </w:pPr>
            <w:r>
              <w:rPr/>
              <w:t xml:space="preserve"> 无</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outlineLvl w:val="2"/>
      </w:pPr>
      <w:r>
        <w:rPr>
          <w:b/>
          <w:sz w:val="28"/>
        </w:rPr>
        <w:t>5.5.废标</w:t>
      </w:r>
    </w:p>
    <w:p>
      <w:pPr>
        <w:pStyle w:val="null3"/>
        <w:ind w:firstLine="480"/>
        <w:jc w:val="left"/>
      </w:pPr>
      <w:r>
        <w:rPr/>
        <w:t>本次政府采购活动中，出现下列情形之一的，予以废标：</w:t>
      </w:r>
    </w:p>
    <w:p>
      <w:pPr>
        <w:pStyle w:val="null3"/>
        <w:ind w:firstLine="480"/>
        <w:jc w:val="left"/>
      </w:pPr>
      <w:r>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t>二、出现影响采购公正的违法、违规行为的；</w:t>
      </w:r>
    </w:p>
    <w:p>
      <w:pPr>
        <w:pStyle w:val="null3"/>
        <w:ind w:firstLine="480"/>
        <w:jc w:val="left"/>
      </w:pPr>
      <w:r>
        <w:rPr/>
        <w:t>三、投标人的报价均超过了采购预算，采购人不能支付的；</w:t>
      </w:r>
    </w:p>
    <w:p>
      <w:pPr>
        <w:pStyle w:val="null3"/>
        <w:ind w:firstLine="480"/>
        <w:jc w:val="left"/>
      </w:pPr>
      <w:r>
        <w:rPr/>
        <w:t>四、因重大变故，采购任务取消的；</w:t>
      </w:r>
    </w:p>
    <w:p>
      <w:pPr>
        <w:pStyle w:val="null3"/>
        <w:ind w:firstLine="480"/>
        <w:jc w:val="left"/>
      </w:pPr>
      <w:r>
        <w:rPr/>
        <w:t>废标后，代理机构将在四川政府采购网上公告。</w:t>
      </w:r>
    </w:p>
    <w:p>
      <w:pPr>
        <w:pStyle w:val="null3"/>
        <w:jc w:val="left"/>
        <w:outlineLvl w:val="2"/>
      </w:pPr>
      <w:r>
        <w:rPr>
          <w:b/>
          <w:sz w:val="28"/>
        </w:rPr>
        <w:t>5.6.定标</w:t>
      </w:r>
    </w:p>
    <w:p>
      <w:pPr>
        <w:pStyle w:val="null3"/>
        <w:jc w:val="left"/>
      </w:pPr>
      <w:r>
        <w:rPr/>
        <w:t>采购人在评标报告确定的中标候选人名单中按顺序确定中标人。</w:t>
      </w:r>
    </w:p>
    <w:p>
      <w:pPr>
        <w:pStyle w:val="null3"/>
        <w:jc w:val="left"/>
      </w:pPr>
      <w:r>
        <w:rPr/>
        <w:t>一、代理机构应当在评标结束后2个工作日内将评标报告送采购人。</w:t>
      </w:r>
    </w:p>
    <w:p>
      <w:pPr>
        <w:pStyle w:val="null3"/>
        <w:jc w:val="left"/>
      </w:pPr>
      <w:r>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t>三、采购人或者代理机构应当自中标人确定之日起 2 个工作日内，在四川政府采购网公告中标结果，招标文件应当随中标结果同时公告。</w:t>
      </w:r>
    </w:p>
    <w:p>
      <w:pPr>
        <w:pStyle w:val="null3"/>
        <w:jc w:val="left"/>
        <w:outlineLvl w:val="2"/>
      </w:pPr>
      <w:r>
        <w:rPr>
          <w:b/>
          <w:sz w:val="28"/>
        </w:rPr>
        <w:t>5.7.评标委员会义务</w:t>
      </w:r>
    </w:p>
    <w:p>
      <w:pPr>
        <w:pStyle w:val="null3"/>
        <w:ind w:firstLine="480"/>
        <w:jc w:val="left"/>
      </w:pPr>
      <w:r>
        <w:rPr/>
        <w:t>评标委员会在政府采购活动中应当履行下列义务：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二、按照客观、公正、审慎的原则，根据招标文件规定的评审程序、评审方法和评审标准进行独立评审；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5.8.评标委员会成员工作纪律</w:t>
      </w:r>
    </w:p>
    <w:p>
      <w:pPr>
        <w:pStyle w:val="null3"/>
        <w:ind w:firstLine="480"/>
        <w:jc w:val="left"/>
      </w:pPr>
      <w:r>
        <w:rPr/>
        <w:t>评标委员会成员在政府采购活动中应当遵守以下工作纪律：</w:t>
      </w:r>
    </w:p>
    <w:p>
      <w:pPr>
        <w:pStyle w:val="null3"/>
        <w:ind w:firstLine="480"/>
        <w:jc w:val="left"/>
      </w:pPr>
      <w:r>
        <w:rPr/>
        <w:t>一、严格遵守政府采购法律制度关于评标委员会成员回避的规定。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七、遵守有关廉洁自律规定，不得私下接触投标人，不得收受投标人及有关业务单位和个人的财物或好处，不得接受采购人、代理机构的请托。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投标文件格式</w:t>
      </w:r>
    </w:p>
    <w:p>
      <w:pPr>
        <w:pStyle w:val="null3"/>
        <w:jc w:val="left"/>
      </w:pPr>
      <w:r>
        <w:rPr/>
        <w:t>采购包1：</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详见附件：报价表</w:t>
      </w:r>
    </w:p>
    <w:p>
      <w:pPr>
        <w:pStyle w:val="null3"/>
        <w:ind w:firstLine="960"/>
        <w:jc w:val="left"/>
      </w:pPr>
      <w:r>
        <w:rPr/>
        <w:t>详见附件：供应商认为需要提供的其他证明材料</w:t>
      </w:r>
    </w:p>
    <w:p>
      <w:pPr>
        <w:pStyle w:val="null3"/>
        <w:ind w:firstLine="960"/>
        <w:jc w:val="left"/>
      </w:pPr>
      <w:r>
        <w:rPr/>
        <w:t>详见附件：产品技术参数响应表</w:t>
      </w:r>
    </w:p>
    <w:p>
      <w:pPr>
        <w:pStyle w:val="null3"/>
        <w:ind w:firstLine="960"/>
        <w:jc w:val="left"/>
      </w:pPr>
      <w:r>
        <w:rPr/>
        <w:t>详见附件：商务应答表</w:t>
      </w:r>
    </w:p>
    <w:p>
      <w:pPr>
        <w:pStyle w:val="null3"/>
      </w:pPr>
      <w:r>
        <w:rPr/>
        <w:t xml:space="preserve"> </w:t>
        <w:br/>
        <w:br w:type="page"/>
      </w:r>
    </w:p>
    <w:p>
      <w:pPr>
        <w:pStyle w:val="null3"/>
        <w:jc w:val="center"/>
        <w:outlineLvl w:val="1"/>
      </w:pPr>
      <w:r>
        <w:rPr>
          <w:b/>
          <w:sz w:val="36"/>
        </w:rPr>
        <w:t>第七章 拟签订合同文本</w:t>
      </w:r>
    </w:p>
    <w:p>
      <w:pPr>
        <w:pStyle w:val="null3"/>
        <w:jc w:val="left"/>
      </w:pPr>
      <w:r>
        <w:rPr/>
        <w:t>详见附件：警用装备合同文本.docx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